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017B7E">
      <w:pPr>
        <w:rPr>
          <w:b/>
          <w:color w:val="2E74B5" w:themeColor="accent1" w:themeShade="BF"/>
          <w:sz w:val="24"/>
        </w:rPr>
      </w:pPr>
      <w:r>
        <w:rPr>
          <w:b/>
          <w:color w:val="2E74B5" w:themeColor="accent1" w:themeShade="BF"/>
          <w:sz w:val="24"/>
        </w:rPr>
        <w:t>Small Finance Banks</w:t>
      </w:r>
    </w:p>
    <w:tbl>
      <w:tblPr>
        <w:tblW w:w="9320" w:type="dxa"/>
        <w:tblLook w:val="04A0" w:firstRow="1" w:lastRow="0" w:firstColumn="1" w:lastColumn="0" w:noHBand="0" w:noVBand="1"/>
      </w:tblPr>
      <w:tblGrid>
        <w:gridCol w:w="805"/>
        <w:gridCol w:w="8515"/>
      </w:tblGrid>
      <w:tr w:rsidR="0045251B" w:rsidRPr="0045251B" w:rsidTr="0045251B">
        <w:trPr>
          <w:trHeight w:val="510"/>
        </w:trPr>
        <w:tc>
          <w:tcPr>
            <w:tcW w:w="805" w:type="dxa"/>
            <w:tcBorders>
              <w:top w:val="single" w:sz="4" w:space="0" w:color="auto"/>
              <w:left w:val="single" w:sz="4" w:space="0" w:color="auto"/>
              <w:bottom w:val="single" w:sz="4" w:space="0" w:color="auto"/>
              <w:right w:val="single" w:sz="4" w:space="0" w:color="auto"/>
            </w:tcBorders>
          </w:tcPr>
          <w:p w:rsidR="0045251B" w:rsidRPr="00AF5E14" w:rsidRDefault="0045251B" w:rsidP="00AF5E14">
            <w:pPr>
              <w:spacing w:after="0" w:line="240" w:lineRule="auto"/>
              <w:jc w:val="center"/>
              <w:rPr>
                <w:rFonts w:eastAsia="Times New Roman" w:cstheme="minorHAnsi"/>
                <w:b/>
                <w:bCs/>
                <w:color w:val="000000"/>
              </w:rPr>
            </w:pPr>
            <w:r w:rsidRPr="00AF5E14">
              <w:rPr>
                <w:rFonts w:eastAsia="Times New Roman" w:cstheme="minorHAnsi"/>
                <w:b/>
                <w:bCs/>
                <w:color w:val="000000"/>
              </w:rPr>
              <w:t>Sr. No.</w:t>
            </w:r>
          </w:p>
        </w:tc>
        <w:tc>
          <w:tcPr>
            <w:tcW w:w="8515" w:type="dxa"/>
            <w:tcBorders>
              <w:top w:val="single" w:sz="4" w:space="0" w:color="auto"/>
              <w:left w:val="single" w:sz="4" w:space="0" w:color="auto"/>
              <w:bottom w:val="single" w:sz="4" w:space="0" w:color="auto"/>
              <w:right w:val="single" w:sz="4" w:space="0" w:color="auto"/>
            </w:tcBorders>
            <w:shd w:val="clear" w:color="auto" w:fill="auto"/>
            <w:hideMark/>
          </w:tcPr>
          <w:p w:rsidR="0045251B" w:rsidRPr="00AF5E14" w:rsidRDefault="0045251B" w:rsidP="00AF5E14">
            <w:pPr>
              <w:spacing w:after="0" w:line="240" w:lineRule="auto"/>
              <w:jc w:val="center"/>
              <w:rPr>
                <w:rFonts w:eastAsia="Times New Roman" w:cstheme="minorHAnsi"/>
                <w:b/>
                <w:bCs/>
                <w:color w:val="000000"/>
              </w:rPr>
            </w:pPr>
            <w:r w:rsidRPr="00AF5E14">
              <w:rPr>
                <w:rFonts w:eastAsia="Times New Roman" w:cstheme="minorHAnsi"/>
                <w:b/>
                <w:bCs/>
                <w:color w:val="000000"/>
              </w:rPr>
              <w:t>RBI Notifications</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New Definition of Micro, Small and Medium Enterprises</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Reserve Bank of India (Call, Notice and Term Money Markets) Directions, 2021</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3</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Bharat Bill Payment System – Addition of Biller Category</w:t>
            </w:r>
          </w:p>
        </w:tc>
      </w:tr>
      <w:tr w:rsidR="0045251B" w:rsidRPr="0045251B" w:rsidTr="0045251B">
        <w:trPr>
          <w:trHeight w:val="765"/>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4</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Usage of Automated Teller Machines / Cash Recycler Machines – Review of Interchange Fee and Customer Charges</w:t>
            </w:r>
          </w:p>
        </w:tc>
      </w:tr>
      <w:tr w:rsidR="0045251B" w:rsidRPr="0045251B" w:rsidTr="0045251B">
        <w:trPr>
          <w:trHeight w:val="102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5</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Resolution Framework - 2.0: Resolution of Covid-19 related stress of Micro, Small and Medium Enterprises (MSMEs) – Revision in the threshold for aggregate exposure</w:t>
            </w:r>
          </w:p>
        </w:tc>
      </w:tr>
      <w:tr w:rsidR="0045251B" w:rsidRPr="0045251B" w:rsidTr="0045251B">
        <w:trPr>
          <w:trHeight w:val="765"/>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6</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Resolution Framework - 2.0: Resolution of Covid-19 related stress of Individuals and Small Businesses – Revision in the threshold for aggregate exposure</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7</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Customer Due Diligence for transactions in Virtual Currencies (VC)</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8</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Relaxation in timeline for compliance with various payment system requirements</w:t>
            </w:r>
          </w:p>
        </w:tc>
      </w:tr>
      <w:tr w:rsidR="0045251B" w:rsidRPr="0045251B" w:rsidTr="0045251B">
        <w:trPr>
          <w:trHeight w:val="108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9</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 xml:space="preserve">Prepaid Payment Instruments (PPIs) – (i) Mandating Interoperability; (ii) Increasing the Limit to </w:t>
            </w:r>
            <w:r w:rsidRPr="00AF5E14">
              <w:rPr>
                <w:rFonts w:ascii="Calibri" w:eastAsia="Times New Roman" w:hAnsi="Calibri" w:cs="Calibri"/>
                <w:color w:val="000000"/>
              </w:rPr>
              <w:t>₹</w:t>
            </w:r>
            <w:r w:rsidRPr="00AF5E14">
              <w:rPr>
                <w:rFonts w:eastAsia="Times New Roman" w:cstheme="minorHAnsi"/>
                <w:color w:val="000000"/>
              </w:rPr>
              <w:t>2 lakh for Full-KYC PPIs; and (iii) Permitting Cash Withdrawal from Full-KYC PPIs of Non-Bank PPI Issuers</w:t>
            </w:r>
          </w:p>
        </w:tc>
      </w:tr>
      <w:tr w:rsidR="0045251B" w:rsidRPr="0045251B" w:rsidTr="0045251B">
        <w:trPr>
          <w:trHeight w:val="765"/>
        </w:trPr>
        <w:tc>
          <w:tcPr>
            <w:tcW w:w="805" w:type="dxa"/>
            <w:tcBorders>
              <w:top w:val="nil"/>
              <w:left w:val="single" w:sz="4" w:space="0" w:color="auto"/>
              <w:bottom w:val="single" w:sz="4" w:space="0" w:color="auto"/>
              <w:right w:val="single" w:sz="4" w:space="0" w:color="auto"/>
            </w:tcBorders>
            <w:shd w:val="clear" w:color="000000" w:fill="FFFFFF"/>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10</w:t>
            </w:r>
          </w:p>
        </w:tc>
        <w:tc>
          <w:tcPr>
            <w:tcW w:w="8515" w:type="dxa"/>
            <w:tcBorders>
              <w:top w:val="nil"/>
              <w:left w:val="single" w:sz="4" w:space="0" w:color="auto"/>
              <w:bottom w:val="single" w:sz="4" w:space="0" w:color="auto"/>
              <w:right w:val="single" w:sz="4" w:space="0" w:color="auto"/>
            </w:tcBorders>
            <w:shd w:val="clear" w:color="000000" w:fill="FFFFFF"/>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Resolution Framework 2.0 – Resolution of Covid-19 related stress of Micro, Small and Medium Enterprises (MSMEs)</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shd w:val="clear" w:color="000000" w:fill="FFFFFF"/>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11</w:t>
            </w:r>
          </w:p>
        </w:tc>
        <w:tc>
          <w:tcPr>
            <w:tcW w:w="8515" w:type="dxa"/>
            <w:tcBorders>
              <w:top w:val="nil"/>
              <w:left w:val="single" w:sz="4" w:space="0" w:color="auto"/>
              <w:bottom w:val="single" w:sz="4" w:space="0" w:color="auto"/>
              <w:right w:val="single" w:sz="4" w:space="0" w:color="auto"/>
            </w:tcBorders>
            <w:shd w:val="clear" w:color="000000" w:fill="FFFFFF"/>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Resolution Framework – 2.0: Resolution of Covid-19 related stress of Individuals and Small Businesses</w:t>
            </w:r>
          </w:p>
        </w:tc>
      </w:tr>
      <w:tr w:rsidR="0045251B" w:rsidRPr="0045251B" w:rsidTr="0045251B">
        <w:trPr>
          <w:trHeight w:val="255"/>
        </w:trPr>
        <w:tc>
          <w:tcPr>
            <w:tcW w:w="805" w:type="dxa"/>
            <w:tcBorders>
              <w:top w:val="nil"/>
              <w:left w:val="single" w:sz="4" w:space="0" w:color="auto"/>
              <w:bottom w:val="single" w:sz="4" w:space="0" w:color="auto"/>
              <w:right w:val="single" w:sz="4" w:space="0" w:color="auto"/>
            </w:tcBorders>
            <w:shd w:val="clear" w:color="000000" w:fill="FFFFFF"/>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12</w:t>
            </w:r>
          </w:p>
        </w:tc>
        <w:tc>
          <w:tcPr>
            <w:tcW w:w="8515" w:type="dxa"/>
            <w:tcBorders>
              <w:top w:val="nil"/>
              <w:left w:val="single" w:sz="4" w:space="0" w:color="auto"/>
              <w:bottom w:val="single" w:sz="4" w:space="0" w:color="auto"/>
              <w:right w:val="single" w:sz="4" w:space="0" w:color="auto"/>
            </w:tcBorders>
            <w:shd w:val="clear" w:color="000000" w:fill="FFFFFF"/>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Credit to MSME Entrepreneurs</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13</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Periodic Updation of KYC – Restrictions on Account Operations for Non-compliance</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14</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Priority Sector Lending (PSL) - On-lending by Small Finance Banks (SFBs) to NBFC-MFIs</w:t>
            </w:r>
          </w:p>
        </w:tc>
      </w:tr>
      <w:tr w:rsidR="0045251B" w:rsidRPr="0045251B" w:rsidTr="0045251B">
        <w:trPr>
          <w:trHeight w:val="765"/>
        </w:trPr>
        <w:tc>
          <w:tcPr>
            <w:tcW w:w="805" w:type="dxa"/>
            <w:tcBorders>
              <w:top w:val="nil"/>
              <w:left w:val="single" w:sz="4" w:space="0" w:color="auto"/>
              <w:bottom w:val="single" w:sz="4" w:space="0" w:color="auto"/>
              <w:right w:val="single" w:sz="4" w:space="0" w:color="auto"/>
            </w:tcBorders>
            <w:shd w:val="clear" w:color="000000" w:fill="FFFFFF"/>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15</w:t>
            </w:r>
          </w:p>
        </w:tc>
        <w:tc>
          <w:tcPr>
            <w:tcW w:w="8515" w:type="dxa"/>
            <w:tcBorders>
              <w:top w:val="nil"/>
              <w:left w:val="single" w:sz="4" w:space="0" w:color="auto"/>
              <w:bottom w:val="single" w:sz="4" w:space="0" w:color="auto"/>
              <w:right w:val="single" w:sz="4" w:space="0" w:color="auto"/>
            </w:tcBorders>
            <w:shd w:val="clear" w:color="000000" w:fill="FFFFFF"/>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 xml:space="preserve">Enhancement of limit of maximum balance per customer at end of the day from </w:t>
            </w:r>
            <w:r w:rsidRPr="00AF5E14">
              <w:rPr>
                <w:rFonts w:ascii="Calibri" w:eastAsia="Times New Roman" w:hAnsi="Calibri" w:cs="Calibri"/>
                <w:color w:val="000000"/>
              </w:rPr>
              <w:t>₹</w:t>
            </w:r>
            <w:r w:rsidRPr="00AF5E14">
              <w:rPr>
                <w:rFonts w:eastAsia="Times New Roman" w:cstheme="minorHAnsi"/>
                <w:color w:val="000000"/>
              </w:rPr>
              <w:t xml:space="preserve">1 lakh to </w:t>
            </w:r>
            <w:r w:rsidRPr="00AF5E14">
              <w:rPr>
                <w:rFonts w:ascii="Calibri" w:eastAsia="Times New Roman" w:hAnsi="Calibri" w:cs="Calibri"/>
                <w:color w:val="000000"/>
              </w:rPr>
              <w:t>₹</w:t>
            </w:r>
            <w:r w:rsidRPr="00AF5E14">
              <w:rPr>
                <w:rFonts w:eastAsia="Times New Roman" w:cstheme="minorHAnsi"/>
                <w:color w:val="000000"/>
              </w:rPr>
              <w:t xml:space="preserve">2 lakh </w:t>
            </w:r>
            <w:r w:rsidRPr="00AF5E14">
              <w:rPr>
                <w:rFonts w:ascii="Calibri" w:eastAsia="Times New Roman" w:hAnsi="Calibri" w:cs="Calibri"/>
                <w:color w:val="000000"/>
              </w:rPr>
              <w:t>–</w:t>
            </w:r>
            <w:r w:rsidRPr="00AF5E14">
              <w:rPr>
                <w:rFonts w:eastAsia="Times New Roman" w:cstheme="minorHAnsi"/>
                <w:color w:val="000000"/>
              </w:rPr>
              <w:t xml:space="preserve"> Payments Banks (PBs)</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16</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Asset Classification and Income Recognition following the expiry of Covid-19 regulatory package</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17</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Deendayal Antyodaya Yojana – National Urban Livelihoods Mission (DAY-NULM)</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18</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Master Circular - Credit facilities to Scheduled Castes (SCs) &amp; Scheduled Tribes (STs)</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19</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Master Direction - Reserve Bank of India (Call, Notice and Term Money Markets) Directions, 2021</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lastRenderedPageBreak/>
              <w:t>20</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Amendment to Master Direction (MD) on KYC – KYC norms for Self Help Groups (SHGs)</w:t>
            </w:r>
          </w:p>
        </w:tc>
      </w:tr>
      <w:tr w:rsidR="0045251B" w:rsidRPr="0045251B" w:rsidTr="0045251B">
        <w:trPr>
          <w:trHeight w:val="102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21</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Section 24 of the Banking Regulation Act, 1949 – Maintenance of Statutory Liquidity Ratio (SLR) – Marginal Standing Facility (MSF) - Extension of Relaxation</w:t>
            </w:r>
          </w:p>
        </w:tc>
      </w:tr>
      <w:tr w:rsidR="0045251B" w:rsidRPr="0045251B" w:rsidTr="0045251B">
        <w:trPr>
          <w:trHeight w:val="255"/>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22</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Maintenance of Cash Reserve Ratio (CRR)</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23</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Strengthening of Grievance Redress Mechanism in Banks</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24</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Booklet on Payment Systems in India</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25</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High-risk and other monitored jurisdictions: Jurisdictions under Increased Monitoring - June 2021</w:t>
            </w:r>
          </w:p>
        </w:tc>
      </w:tr>
      <w:tr w:rsidR="0045251B" w:rsidRPr="0045251B" w:rsidTr="0045251B">
        <w:trPr>
          <w:trHeight w:val="51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26</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High-Risk Jurisdictions subject to a Call for Action</w:t>
            </w:r>
          </w:p>
        </w:tc>
      </w:tr>
      <w:tr w:rsidR="0045251B" w:rsidRPr="0045251B" w:rsidTr="0045251B">
        <w:trPr>
          <w:trHeight w:val="600"/>
        </w:trPr>
        <w:tc>
          <w:tcPr>
            <w:tcW w:w="805" w:type="dxa"/>
            <w:tcBorders>
              <w:top w:val="nil"/>
              <w:left w:val="single" w:sz="4" w:space="0" w:color="auto"/>
              <w:bottom w:val="single" w:sz="4" w:space="0" w:color="auto"/>
              <w:right w:val="single" w:sz="4" w:space="0" w:color="auto"/>
            </w:tcBorders>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27</w:t>
            </w:r>
          </w:p>
        </w:tc>
        <w:tc>
          <w:tcPr>
            <w:tcW w:w="8515" w:type="dxa"/>
            <w:tcBorders>
              <w:top w:val="nil"/>
              <w:left w:val="single" w:sz="4" w:space="0" w:color="auto"/>
              <w:bottom w:val="single" w:sz="4" w:space="0" w:color="auto"/>
              <w:right w:val="single" w:sz="4" w:space="0" w:color="auto"/>
            </w:tcBorders>
            <w:shd w:val="clear" w:color="auto" w:fill="auto"/>
            <w:hideMark/>
          </w:tcPr>
          <w:p w:rsidR="0045251B" w:rsidRPr="00AF5E14" w:rsidRDefault="0045251B" w:rsidP="0045251B">
            <w:pPr>
              <w:spacing w:after="0" w:line="240" w:lineRule="auto"/>
              <w:rPr>
                <w:rFonts w:eastAsia="Times New Roman" w:cstheme="minorHAnsi"/>
                <w:color w:val="000000"/>
              </w:rPr>
            </w:pPr>
            <w:r w:rsidRPr="00AF5E14">
              <w:rPr>
                <w:rFonts w:eastAsia="Times New Roman" w:cstheme="minorHAnsi"/>
                <w:color w:val="000000"/>
              </w:rPr>
              <w:t>Finance Minister’s Press Conference on 28th June, 2021 - Economic Relief from Pandemic</w:t>
            </w:r>
          </w:p>
        </w:tc>
      </w:tr>
    </w:tbl>
    <w:p w:rsidR="00E75481" w:rsidRPr="00C760EA" w:rsidRDefault="00E75481" w:rsidP="00E75481">
      <w:pPr>
        <w:pStyle w:val="NormalWeb"/>
        <w:shd w:val="clear" w:color="auto" w:fill="FFFFFF"/>
        <w:spacing w:before="0" w:beforeAutospacing="0" w:after="0" w:afterAutospacing="0"/>
        <w:jc w:val="both"/>
        <w:rPr>
          <w:b/>
          <w:bCs/>
          <w:color w:val="000000"/>
        </w:rPr>
      </w:pPr>
      <w:r>
        <w:rPr>
          <w:b/>
          <w:color w:val="2E74B5" w:themeColor="accent1" w:themeShade="BF"/>
        </w:rPr>
        <w:t>1.</w:t>
      </w:r>
      <w:r w:rsidRPr="00E75481">
        <w:rPr>
          <w:b/>
          <w:bCs/>
          <w:color w:val="000000"/>
        </w:rPr>
        <w:t xml:space="preserve"> </w:t>
      </w:r>
      <w:r w:rsidRPr="00C760EA">
        <w:rPr>
          <w:b/>
          <w:bCs/>
          <w:color w:val="000000"/>
        </w:rPr>
        <w:t>New Definition of Micro, Small and Medium Enterprises</w:t>
      </w:r>
    </w:p>
    <w:p w:rsidR="00E75481" w:rsidRDefault="00E75481" w:rsidP="00E75481">
      <w:pPr>
        <w:pStyle w:val="NormalWeb"/>
        <w:shd w:val="clear" w:color="auto" w:fill="FFFFFF"/>
        <w:spacing w:before="0" w:beforeAutospacing="0" w:after="0" w:afterAutospacing="0"/>
        <w:jc w:val="both"/>
        <w:rPr>
          <w:color w:val="000000"/>
        </w:rPr>
      </w:pPr>
    </w:p>
    <w:p w:rsidR="00E75481" w:rsidRPr="00544DBA" w:rsidRDefault="00E75481" w:rsidP="00E75481">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E75481" w:rsidRDefault="00E75481" w:rsidP="00E75481">
      <w:pPr>
        <w:pStyle w:val="NormalWeb"/>
        <w:shd w:val="clear" w:color="auto" w:fill="FFFFFF"/>
        <w:spacing w:before="0" w:beforeAutospacing="0" w:after="0" w:afterAutospacing="0"/>
        <w:jc w:val="both"/>
        <w:rPr>
          <w:i/>
          <w:color w:val="000000"/>
        </w:rPr>
      </w:pPr>
    </w:p>
    <w:p w:rsidR="00E75481" w:rsidRPr="00544DBA" w:rsidRDefault="00E75481" w:rsidP="00E75481">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E75481" w:rsidRDefault="00E75481" w:rsidP="00E75481">
      <w:pPr>
        <w:pStyle w:val="NormalWeb"/>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t>Please refer to the </w:t>
      </w:r>
      <w:hyperlink r:id="rId5"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E75481" w:rsidRDefault="00E75481" w:rsidP="00E75481">
      <w:pPr>
        <w:pStyle w:val="NormalWeb"/>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6"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7" w:tgtFrame="_blank" w:history="1">
        <w:r w:rsidRPr="00C760EA">
          <w:rPr>
            <w:rStyle w:val="Hyperlink"/>
          </w:rPr>
          <w:t>S.O. 2119 (E), dated June 26, 2020</w:t>
        </w:r>
      </w:hyperlink>
      <w:r w:rsidRPr="00C760EA">
        <w:rPr>
          <w:color w:val="000000"/>
        </w:rPr>
        <w:t>, published in the Gazette of India.</w:t>
      </w:r>
    </w:p>
    <w:p w:rsidR="00E75481" w:rsidRDefault="00E75481" w:rsidP="00E75481">
      <w:pPr>
        <w:pStyle w:val="NormalWeb"/>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t>3. In view of the above amendment, paragraph 2.2 (i) of </w:t>
      </w:r>
      <w:hyperlink r:id="rId8" w:tgtFrame="_blank" w:history="1">
        <w:r w:rsidRPr="00C760EA">
          <w:rPr>
            <w:rStyle w:val="Hyperlink"/>
          </w:rPr>
          <w:t>RBI circular dated August 21, 2020</w:t>
        </w:r>
      </w:hyperlink>
      <w:r w:rsidRPr="00C760EA">
        <w:rPr>
          <w:color w:val="000000"/>
        </w:rPr>
        <w:t> stands modified as under:</w:t>
      </w: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t>“The existing Entrepreneurs Memorandum (EM) Part II and Udyog Aadhaar Memorandum (UAMs) of the MSMEs obtained till June 30, 2020 shall remain valid till December 31, 2021”.</w:t>
      </w:r>
    </w:p>
    <w:p w:rsidR="00E75481" w:rsidRDefault="00E75481" w:rsidP="00E75481">
      <w:pPr>
        <w:pStyle w:val="NormalWeb"/>
        <w:pBdr>
          <w:bottom w:val="single" w:sz="12" w:space="1" w:color="auto"/>
        </w:pBdr>
        <w:shd w:val="clear" w:color="auto" w:fill="FFFFFF"/>
        <w:spacing w:before="0" w:beforeAutospacing="0" w:after="0" w:afterAutospacing="0"/>
        <w:jc w:val="both"/>
        <w:rPr>
          <w:color w:val="000000"/>
        </w:rPr>
      </w:pPr>
    </w:p>
    <w:p w:rsidR="00E75481" w:rsidRDefault="00E75481" w:rsidP="00E75481">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E75481" w:rsidRPr="00C760EA" w:rsidRDefault="00E75481" w:rsidP="00E75481">
      <w:pPr>
        <w:pStyle w:val="NormalWeb"/>
        <w:pBdr>
          <w:bottom w:val="single" w:sz="12" w:space="1" w:color="auto"/>
        </w:pBdr>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b/>
          <w:bCs/>
          <w:color w:val="000000"/>
        </w:rPr>
      </w:pPr>
      <w:r>
        <w:rPr>
          <w:b/>
          <w:bCs/>
          <w:color w:val="000000"/>
        </w:rPr>
        <w:t>2.</w:t>
      </w:r>
      <w:r w:rsidRPr="00E75481">
        <w:rPr>
          <w:b/>
          <w:bCs/>
          <w:color w:val="000000"/>
        </w:rPr>
        <w:t xml:space="preserve"> </w:t>
      </w:r>
      <w:r w:rsidRPr="00C760EA">
        <w:rPr>
          <w:b/>
          <w:bCs/>
          <w:color w:val="000000"/>
        </w:rPr>
        <w:t>Reserve Bank of India (Call, Notice and Term Money Markets) Directions, 2021</w:t>
      </w:r>
    </w:p>
    <w:p w:rsidR="00E75481" w:rsidRDefault="00E75481" w:rsidP="00E75481">
      <w:pPr>
        <w:pStyle w:val="NormalWeb"/>
        <w:shd w:val="clear" w:color="auto" w:fill="FFFFFF"/>
        <w:spacing w:before="0" w:beforeAutospacing="0" w:after="0" w:afterAutospacing="0"/>
        <w:jc w:val="both"/>
        <w:rPr>
          <w:color w:val="000000"/>
        </w:rPr>
      </w:pPr>
    </w:p>
    <w:p w:rsidR="00E75481" w:rsidRPr="00544DBA" w:rsidRDefault="00E75481" w:rsidP="00E75481">
      <w:pPr>
        <w:pStyle w:val="NormalWeb"/>
        <w:shd w:val="clear" w:color="auto" w:fill="FFFFFF"/>
        <w:spacing w:before="0" w:beforeAutospacing="0" w:after="0" w:afterAutospacing="0"/>
        <w:jc w:val="both"/>
        <w:rPr>
          <w:b/>
          <w:color w:val="000000"/>
        </w:rPr>
      </w:pPr>
      <w:r w:rsidRPr="00544DBA">
        <w:rPr>
          <w:b/>
          <w:color w:val="000000"/>
        </w:rPr>
        <w:t xml:space="preserve">RBI/2021-22/61FMRD.DIRD.06/14.01.001/2021-22 </w:t>
      </w:r>
      <w:r w:rsidRPr="00544DBA">
        <w:rPr>
          <w:b/>
          <w:color w:val="000000"/>
        </w:rPr>
        <w:tab/>
      </w:r>
      <w:r w:rsidRPr="00544DBA">
        <w:rPr>
          <w:b/>
          <w:color w:val="000000"/>
        </w:rPr>
        <w:tab/>
        <w:t>June 25, 2021</w:t>
      </w:r>
    </w:p>
    <w:p w:rsidR="00E75481" w:rsidRPr="00544DBA" w:rsidRDefault="00E75481" w:rsidP="00E75481">
      <w:pPr>
        <w:pStyle w:val="NormalWeb"/>
        <w:shd w:val="clear" w:color="auto" w:fill="FFFFFF"/>
        <w:spacing w:before="0" w:beforeAutospacing="0" w:after="0" w:afterAutospacing="0"/>
        <w:jc w:val="both"/>
        <w:rPr>
          <w:b/>
          <w:color w:val="000000"/>
        </w:rPr>
      </w:pPr>
    </w:p>
    <w:p w:rsidR="00E75481" w:rsidRPr="00544DBA" w:rsidRDefault="00E75481" w:rsidP="00E75481">
      <w:pPr>
        <w:pStyle w:val="NormalWeb"/>
        <w:shd w:val="clear" w:color="auto" w:fill="FFFFFF"/>
        <w:spacing w:before="0" w:beforeAutospacing="0" w:after="0" w:afterAutospacing="0"/>
        <w:jc w:val="both"/>
        <w:rPr>
          <w:i/>
          <w:color w:val="000000"/>
        </w:rPr>
      </w:pPr>
      <w:r w:rsidRPr="00544DBA">
        <w:rPr>
          <w:i/>
          <w:color w:val="000000"/>
        </w:rPr>
        <w:t>All Eligible Market Participants</w:t>
      </w:r>
    </w:p>
    <w:p w:rsidR="00E75481" w:rsidRPr="00544DBA" w:rsidRDefault="00E75481" w:rsidP="00E75481">
      <w:pPr>
        <w:pStyle w:val="NormalWeb"/>
        <w:shd w:val="clear" w:color="auto" w:fill="FFFFFF"/>
        <w:spacing w:before="0" w:beforeAutospacing="0" w:after="0" w:afterAutospacing="0"/>
        <w:jc w:val="both"/>
        <w:rPr>
          <w:i/>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lastRenderedPageBreak/>
        <w:t>Please refer to the Master Direction – Reserve Bank of India (Call, Notice and Term Money Markets) Directions, 2021 dated April 01, 2021 (hereinafter referred as ‘Master Directions’).</w:t>
      </w:r>
    </w:p>
    <w:p w:rsidR="00E75481" w:rsidRPr="00C760EA" w:rsidRDefault="00E75481" w:rsidP="00E75481">
      <w:pPr>
        <w:pStyle w:val="NormalWeb"/>
        <w:shd w:val="clear" w:color="auto" w:fill="FFFFFF"/>
        <w:spacing w:before="0" w:beforeAutospacing="0" w:after="0" w:afterAutospacing="0"/>
        <w:jc w:val="both"/>
        <w:rPr>
          <w:color w:val="000000"/>
        </w:rPr>
      </w:pPr>
    </w:p>
    <w:p w:rsidR="00E75481" w:rsidRDefault="00E75481" w:rsidP="00E75481">
      <w:pPr>
        <w:pStyle w:val="NormalWeb"/>
        <w:shd w:val="clear" w:color="auto" w:fill="FFFFFF"/>
        <w:spacing w:before="0" w:beforeAutospacing="0" w:after="0" w:afterAutospacing="0"/>
        <w:jc w:val="both"/>
        <w:rPr>
          <w:color w:val="000000"/>
        </w:rPr>
      </w:pPr>
      <w:r w:rsidRPr="00C760EA">
        <w:rPr>
          <w:color w:val="000000"/>
        </w:rPr>
        <w:t>2. On a review based on representations received, the prudential borrowing limits for transactions in Call, Notice and Term Money Markets have been revised. Accordingly, in Part 4 (b) of the Master Directions, Table 1 is being revised as under:</w:t>
      </w:r>
    </w:p>
    <w:p w:rsidR="00E75481" w:rsidRPr="00544DBA" w:rsidRDefault="00E75481" w:rsidP="00E75481">
      <w:pPr>
        <w:spacing w:after="0" w:line="240" w:lineRule="auto"/>
        <w:rPr>
          <w:rFonts w:ascii="Times New Roman" w:eastAsia="Times New Roman" w:hAnsi="Times New Roman" w:cs="Times New Roman"/>
          <w:sz w:val="24"/>
          <w:szCs w:val="24"/>
          <w:lang w:eastAsia="en-IN"/>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2777"/>
        <w:gridCol w:w="5133"/>
      </w:tblGrid>
      <w:tr w:rsidR="00E75481" w:rsidRPr="00544DBA" w:rsidTr="006A1807">
        <w:tc>
          <w:tcPr>
            <w:tcW w:w="0" w:type="auto"/>
            <w:gridSpan w:val="3"/>
            <w:tcMar>
              <w:top w:w="0" w:type="dxa"/>
              <w:left w:w="45" w:type="dxa"/>
              <w:bottom w:w="0" w:type="dxa"/>
              <w:right w:w="45" w:type="dxa"/>
            </w:tcMar>
            <w:vAlign w:val="cente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Table 1: Prudential limits for outstanding borrowing transactions in Call, Notice and Term Money Markets</w:t>
            </w:r>
          </w:p>
        </w:tc>
      </w:tr>
      <w:tr w:rsidR="00E75481" w:rsidRPr="00544DBA" w:rsidTr="006A1807">
        <w:tc>
          <w:tcPr>
            <w:tcW w:w="300" w:type="pct"/>
            <w:tcMar>
              <w:top w:w="0" w:type="dxa"/>
              <w:left w:w="45" w:type="dxa"/>
              <w:bottom w:w="0" w:type="dxa"/>
              <w:right w:w="45" w:type="dxa"/>
            </w:tcMar>
            <w:vAlign w:val="cente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Sr. No.</w:t>
            </w:r>
          </w:p>
        </w:tc>
        <w:tc>
          <w:tcPr>
            <w:tcW w:w="1650" w:type="pct"/>
            <w:tcMar>
              <w:top w:w="0" w:type="dxa"/>
              <w:left w:w="45" w:type="dxa"/>
              <w:bottom w:w="0" w:type="dxa"/>
              <w:right w:w="45" w:type="dxa"/>
            </w:tcMar>
            <w:vAlign w:val="cente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Participant Category</w:t>
            </w:r>
          </w:p>
        </w:tc>
        <w:tc>
          <w:tcPr>
            <w:tcW w:w="3050" w:type="pct"/>
            <w:tcMar>
              <w:top w:w="0" w:type="dxa"/>
              <w:left w:w="45" w:type="dxa"/>
              <w:bottom w:w="0" w:type="dxa"/>
              <w:right w:w="45" w:type="dxa"/>
            </w:tcMar>
            <w:vAlign w:val="cente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Prudential Limit</w:t>
            </w:r>
          </w:p>
        </w:tc>
      </w:tr>
      <w:tr w:rsidR="00E75481" w:rsidRPr="00544DBA" w:rsidTr="006A1807">
        <w:tc>
          <w:tcPr>
            <w:tcW w:w="0" w:type="auto"/>
            <w:tcMar>
              <w:top w:w="0" w:type="dxa"/>
              <w:left w:w="45" w:type="dxa"/>
              <w:bottom w:w="0" w:type="dxa"/>
              <w:right w:w="45" w:type="dxa"/>
            </w:tcMa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1</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Scheduled Commercial Banks (including Small Finance Banks)</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Internal board approved limit within the prudential limits for inter-bank liabilities.</w:t>
            </w:r>
          </w:p>
        </w:tc>
      </w:tr>
      <w:tr w:rsidR="00E75481" w:rsidRPr="00544DBA" w:rsidTr="006A1807">
        <w:tc>
          <w:tcPr>
            <w:tcW w:w="0" w:type="auto"/>
            <w:tcMar>
              <w:top w:w="0" w:type="dxa"/>
              <w:left w:w="45" w:type="dxa"/>
              <w:bottom w:w="0" w:type="dxa"/>
              <w:right w:w="45" w:type="dxa"/>
            </w:tcMa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2</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Payment Banks and Regional Rural Banks</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b/>
                <w:bCs/>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p>
        </w:tc>
      </w:tr>
      <w:tr w:rsidR="00E75481" w:rsidRPr="00544DBA" w:rsidTr="006A1807">
        <w:tc>
          <w:tcPr>
            <w:tcW w:w="0" w:type="auto"/>
            <w:tcMar>
              <w:top w:w="0" w:type="dxa"/>
              <w:left w:w="45" w:type="dxa"/>
              <w:bottom w:w="0" w:type="dxa"/>
              <w:right w:w="45" w:type="dxa"/>
            </w:tcMa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3</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Co-operative Banks</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2.0% of aggregate deposits as at the end of the previous financial year.</w:t>
            </w:r>
          </w:p>
        </w:tc>
      </w:tr>
      <w:tr w:rsidR="00E75481" w:rsidRPr="00544DBA" w:rsidTr="006A1807">
        <w:tc>
          <w:tcPr>
            <w:tcW w:w="0" w:type="auto"/>
            <w:tcMar>
              <w:top w:w="0" w:type="dxa"/>
              <w:left w:w="45" w:type="dxa"/>
              <w:bottom w:w="0" w:type="dxa"/>
              <w:right w:w="45" w:type="dxa"/>
            </w:tcMar>
            <w:hideMark/>
          </w:tcPr>
          <w:p w:rsidR="00E75481" w:rsidRPr="00544DBA" w:rsidRDefault="00E75481" w:rsidP="006A1807">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4</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Primary Dealers</w:t>
            </w:r>
          </w:p>
        </w:tc>
        <w:tc>
          <w:tcPr>
            <w:tcW w:w="0" w:type="auto"/>
            <w:tcMar>
              <w:top w:w="0" w:type="dxa"/>
              <w:left w:w="45" w:type="dxa"/>
              <w:bottom w:w="0" w:type="dxa"/>
              <w:right w:w="45" w:type="dxa"/>
            </w:tcMar>
            <w:hideMark/>
          </w:tcPr>
          <w:p w:rsidR="00E75481" w:rsidRPr="00544DBA" w:rsidRDefault="00E75481" w:rsidP="006A1807">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 on a daily average basis in a reporting fortnight.</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w:t>
            </w:r>
          </w:p>
        </w:tc>
      </w:tr>
    </w:tbl>
    <w:p w:rsidR="00E75481" w:rsidRPr="00C760EA" w:rsidRDefault="00E75481" w:rsidP="00E75481">
      <w:pPr>
        <w:pStyle w:val="NormalWeb"/>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t>3. These Directions have been issued by RBI in exercise of the powers conferred under section 45W of the Reserve Bank of India Act, 1934 and of all the powers enabling it in this behalf.</w:t>
      </w:r>
    </w:p>
    <w:p w:rsidR="00E75481" w:rsidRPr="00C760EA" w:rsidRDefault="00E75481" w:rsidP="00E75481">
      <w:pPr>
        <w:pStyle w:val="NormalWeb"/>
        <w:shd w:val="clear" w:color="auto" w:fill="FFFFFF"/>
        <w:spacing w:before="0" w:beforeAutospacing="0" w:after="0" w:afterAutospacing="0"/>
        <w:jc w:val="both"/>
        <w:rPr>
          <w:color w:val="000000"/>
        </w:rPr>
      </w:pPr>
    </w:p>
    <w:p w:rsidR="00E75481" w:rsidRDefault="00E75481" w:rsidP="00E75481">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These changes shall be applicable with immediate effect.</w:t>
      </w:r>
    </w:p>
    <w:p w:rsidR="00E75481" w:rsidRPr="00C760EA" w:rsidRDefault="00E75481" w:rsidP="00E75481">
      <w:pPr>
        <w:pStyle w:val="NormalWeb"/>
        <w:pBdr>
          <w:bottom w:val="single" w:sz="12" w:space="1" w:color="auto"/>
        </w:pBdr>
        <w:shd w:val="clear" w:color="auto" w:fill="FFFFFF"/>
        <w:spacing w:before="0" w:beforeAutospacing="0" w:after="0" w:afterAutospacing="0"/>
        <w:jc w:val="both"/>
        <w:rPr>
          <w:color w:val="000000"/>
        </w:rPr>
      </w:pPr>
    </w:p>
    <w:p w:rsidR="00E75481" w:rsidRDefault="00E75481" w:rsidP="00E75481">
      <w:pPr>
        <w:pStyle w:val="NormalWeb"/>
        <w:pBdr>
          <w:bottom w:val="single" w:sz="12" w:space="1" w:color="auto"/>
        </w:pBdr>
        <w:shd w:val="clear" w:color="auto" w:fill="FFFFFF"/>
        <w:spacing w:before="0" w:beforeAutospacing="0" w:after="0" w:afterAutospacing="0"/>
        <w:jc w:val="both"/>
        <w:rPr>
          <w:color w:val="000000"/>
        </w:rPr>
      </w:pPr>
      <w:hyperlink r:id="rId9" w:history="1">
        <w:r w:rsidRPr="00C760EA">
          <w:rPr>
            <w:rStyle w:val="Hyperlink"/>
          </w:rPr>
          <w:t>https://www.rbi.org.in/Scripts/NotificationUser.aspx?Id=12120&amp;Mode=0</w:t>
        </w:r>
      </w:hyperlink>
      <w:r w:rsidRPr="00C760EA">
        <w:rPr>
          <w:color w:val="000000"/>
        </w:rPr>
        <w:t xml:space="preserve"> </w:t>
      </w:r>
    </w:p>
    <w:p w:rsidR="00E75481" w:rsidRPr="00C760EA" w:rsidRDefault="00E75481" w:rsidP="00E75481">
      <w:pPr>
        <w:pStyle w:val="NormalWeb"/>
        <w:pBdr>
          <w:bottom w:val="single" w:sz="12" w:space="1" w:color="auto"/>
        </w:pBdr>
        <w:shd w:val="clear" w:color="auto" w:fill="FFFFFF"/>
        <w:spacing w:before="0" w:beforeAutospacing="0" w:after="0" w:afterAutospacing="0"/>
        <w:jc w:val="both"/>
        <w:rPr>
          <w:color w:val="000000"/>
        </w:rPr>
      </w:pPr>
    </w:p>
    <w:p w:rsidR="00E75481" w:rsidRDefault="00E75481" w:rsidP="00E75481">
      <w:pPr>
        <w:pStyle w:val="NormalWeb"/>
        <w:shd w:val="clear" w:color="auto" w:fill="FFFFFF"/>
        <w:spacing w:before="0" w:beforeAutospacing="0" w:after="0" w:afterAutospacing="0"/>
        <w:jc w:val="both"/>
        <w:rPr>
          <w:b/>
          <w:bCs/>
          <w:color w:val="000000"/>
        </w:rPr>
      </w:pPr>
    </w:p>
    <w:p w:rsidR="00E75481" w:rsidRPr="00C760EA" w:rsidRDefault="00E75481" w:rsidP="00E75481">
      <w:pPr>
        <w:pStyle w:val="NormalWeb"/>
        <w:shd w:val="clear" w:color="auto" w:fill="FFFFFF"/>
        <w:spacing w:before="0" w:beforeAutospacing="0" w:after="0" w:afterAutospacing="0"/>
        <w:jc w:val="both"/>
        <w:rPr>
          <w:b/>
          <w:bCs/>
          <w:color w:val="000000"/>
        </w:rPr>
      </w:pPr>
      <w:r>
        <w:rPr>
          <w:b/>
          <w:bCs/>
          <w:color w:val="000000"/>
        </w:rPr>
        <w:t>3.</w:t>
      </w:r>
      <w:r w:rsidRPr="00E75481">
        <w:rPr>
          <w:b/>
          <w:bCs/>
          <w:color w:val="000000"/>
        </w:rPr>
        <w:t xml:space="preserve"> </w:t>
      </w:r>
      <w:r w:rsidRPr="00C760EA">
        <w:rPr>
          <w:b/>
          <w:bCs/>
          <w:color w:val="000000"/>
        </w:rPr>
        <w:t>Bill Payment System – Addition of Biller Category</w:t>
      </w:r>
    </w:p>
    <w:p w:rsidR="00E75481" w:rsidRDefault="00E75481" w:rsidP="00E75481">
      <w:pPr>
        <w:pStyle w:val="NormalWeb"/>
        <w:shd w:val="clear" w:color="auto" w:fill="FFFFFF"/>
        <w:spacing w:before="0" w:beforeAutospacing="0" w:after="0" w:afterAutospacing="0"/>
        <w:jc w:val="both"/>
        <w:rPr>
          <w:color w:val="000000"/>
        </w:rPr>
      </w:pPr>
    </w:p>
    <w:p w:rsidR="00E75481" w:rsidRDefault="00E75481" w:rsidP="00E75481">
      <w:pPr>
        <w:pStyle w:val="NormalWeb"/>
        <w:shd w:val="clear" w:color="auto" w:fill="FFFFFF"/>
        <w:spacing w:before="0" w:beforeAutospacing="0" w:after="0" w:afterAutospacing="0"/>
        <w:jc w:val="both"/>
        <w:rPr>
          <w:b/>
          <w:color w:val="000000"/>
        </w:rPr>
      </w:pPr>
      <w:r w:rsidRPr="00762028">
        <w:rPr>
          <w:b/>
          <w:color w:val="000000"/>
        </w:rPr>
        <w:t>RBI/2021-22/54CO.DPSS.POLC.No.S188/02-27-020/2021-2022</w:t>
      </w:r>
      <w:r w:rsidRPr="00762028">
        <w:rPr>
          <w:b/>
          <w:color w:val="000000"/>
        </w:rPr>
        <w:tab/>
      </w:r>
      <w:r w:rsidRPr="00762028">
        <w:rPr>
          <w:b/>
          <w:color w:val="000000"/>
        </w:rPr>
        <w:tab/>
        <w:t>June 14, 2021</w:t>
      </w:r>
    </w:p>
    <w:p w:rsidR="00E75481" w:rsidRPr="00762028" w:rsidRDefault="00E75481" w:rsidP="00E75481">
      <w:pPr>
        <w:pStyle w:val="NormalWeb"/>
        <w:shd w:val="clear" w:color="auto" w:fill="FFFFFF"/>
        <w:spacing w:before="0" w:beforeAutospacing="0" w:after="0" w:afterAutospacing="0"/>
        <w:jc w:val="both"/>
        <w:rPr>
          <w:b/>
          <w:color w:val="000000"/>
        </w:rPr>
      </w:pPr>
    </w:p>
    <w:p w:rsidR="00E75481" w:rsidRPr="00762028" w:rsidRDefault="00E75481" w:rsidP="00E75481">
      <w:pPr>
        <w:pStyle w:val="NormalWeb"/>
        <w:shd w:val="clear" w:color="auto" w:fill="FFFFFF"/>
        <w:spacing w:before="0" w:beforeAutospacing="0" w:after="0" w:afterAutospacing="0"/>
        <w:jc w:val="both"/>
        <w:rPr>
          <w:i/>
          <w:color w:val="000000"/>
        </w:rPr>
      </w:pPr>
      <w:r w:rsidRPr="00762028">
        <w:rPr>
          <w:i/>
          <w:color w:val="000000"/>
        </w:rPr>
        <w:t>The Chairman and Managing Director / Chief Executive Officer, Scheduled Commercial Banks including RRBs / Urban Co-operative Banks / State Co-operative Banks / District Central Co-operative Banks / Payment Banks / Small Finance Banks / NPCI Bharat Bill Pay  Ltd. / Bharat Bill Payment System Providers / System Participants and prospective Bharat Bill Payment Operating Units</w:t>
      </w:r>
    </w:p>
    <w:p w:rsidR="00E75481" w:rsidRDefault="00E75481" w:rsidP="00E75481">
      <w:pPr>
        <w:pStyle w:val="NormalWeb"/>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t>This has reference to the guidelines on Bharat Bill Payment System (BBPS) issued by the Reserve Bank of India vide </w:t>
      </w:r>
      <w:hyperlink r:id="rId10" w:tgtFrame="_blank" w:history="1">
        <w:r w:rsidRPr="00C760EA">
          <w:rPr>
            <w:rStyle w:val="Hyperlink"/>
          </w:rPr>
          <w:t>circular DPSS.CO.PD.No.940/02.27.020/2014-2015 on November 28, 2014</w:t>
        </w:r>
      </w:hyperlink>
      <w:r w:rsidRPr="00C760EA">
        <w:rPr>
          <w:color w:val="000000"/>
        </w:rPr>
        <w:t>. BBPS, started as an interoperable platform for repetitive bill payments, which covered bills of five categories viz. Direct to Home (DTH), Electricity, Gas, Telecom and Water. The system provided standardised bill payment experience, centralised customer grievance redressal mechanism, prescribed customer convenience fee and ensured availability of a bouquet of anytime, anywhere digital payment options. The scope and coverage of BBPS was expanded vide </w:t>
      </w:r>
      <w:hyperlink r:id="rId11" w:tgtFrame="_blank" w:history="1">
        <w:r w:rsidRPr="00C760EA">
          <w:rPr>
            <w:rStyle w:val="Hyperlink"/>
          </w:rPr>
          <w:t>circular DPSS.CO.PD.No.605/02.27.020/2019-20 dated September 16, 2019</w:t>
        </w:r>
      </w:hyperlink>
      <w:r w:rsidRPr="00C760EA">
        <w:rPr>
          <w:color w:val="000000"/>
        </w:rPr>
        <w:t> to include all categories of billers which raise recurring bills (except mobile prepaid recharges) as eligible participants, on a voluntary basis.</w:t>
      </w:r>
    </w:p>
    <w:p w:rsidR="00E75481" w:rsidRDefault="00E75481" w:rsidP="00E75481">
      <w:pPr>
        <w:pStyle w:val="NormalWeb"/>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r w:rsidRPr="00C760EA">
        <w:rPr>
          <w:color w:val="000000"/>
        </w:rPr>
        <w:t>2. With consistent growth in different biller categories and to facilitate mobile prepaid customers with more options to recharge, it has been decided to permit ‘mobile prepaid recharges’ as a biller category in BBPS, on a voluntary basis. This will be implemented on or before August 31, 2021.</w:t>
      </w:r>
    </w:p>
    <w:p w:rsidR="00E75481" w:rsidRDefault="00E75481" w:rsidP="00E75481">
      <w:pPr>
        <w:pStyle w:val="NormalWeb"/>
        <w:pBdr>
          <w:bottom w:val="single" w:sz="12" w:space="1" w:color="auto"/>
        </w:pBdr>
        <w:shd w:val="clear" w:color="auto" w:fill="FFFFFF"/>
        <w:spacing w:before="0" w:beforeAutospacing="0" w:after="0" w:afterAutospacing="0"/>
        <w:jc w:val="both"/>
        <w:rPr>
          <w:color w:val="000000"/>
        </w:rPr>
      </w:pPr>
    </w:p>
    <w:p w:rsidR="00E75481" w:rsidRDefault="00E75481" w:rsidP="00E75481">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3. This directive is issued under Section 10 (2) read with Section 18 of the Payment and Settlement Systems Act, 2007 (Act 51 of 2007).</w:t>
      </w:r>
    </w:p>
    <w:p w:rsidR="00E75481" w:rsidRPr="00C760EA" w:rsidRDefault="00E75481" w:rsidP="00E75481">
      <w:pPr>
        <w:pStyle w:val="NormalWeb"/>
        <w:pBdr>
          <w:bottom w:val="single" w:sz="12" w:space="1" w:color="auto"/>
        </w:pBdr>
        <w:shd w:val="clear" w:color="auto" w:fill="FFFFFF"/>
        <w:spacing w:before="0" w:beforeAutospacing="0" w:after="0" w:afterAutospacing="0"/>
        <w:jc w:val="both"/>
        <w:rPr>
          <w:color w:val="000000"/>
        </w:rPr>
      </w:pPr>
    </w:p>
    <w:p w:rsidR="002A4289" w:rsidRDefault="002A4289" w:rsidP="002A4289">
      <w:pPr>
        <w:pStyle w:val="NormalWeb"/>
        <w:shd w:val="clear" w:color="auto" w:fill="FFFFFF"/>
        <w:spacing w:before="0" w:beforeAutospacing="0" w:after="0" w:afterAutospacing="0"/>
        <w:jc w:val="both"/>
        <w:rPr>
          <w:b/>
          <w:bCs/>
          <w:color w:val="000000"/>
        </w:rPr>
      </w:pPr>
      <w:r>
        <w:rPr>
          <w:color w:val="000000"/>
        </w:rPr>
        <w:t>4.</w:t>
      </w:r>
      <w:r w:rsidRPr="002A4289">
        <w:rPr>
          <w:b/>
          <w:bCs/>
          <w:color w:val="000000"/>
        </w:rPr>
        <w:t xml:space="preserve"> </w:t>
      </w:r>
      <w:r w:rsidRPr="00C760EA">
        <w:rPr>
          <w:b/>
          <w:bCs/>
          <w:color w:val="000000"/>
        </w:rPr>
        <w:t>Usage of Automated Teller Machines / Cash Recycler Machines – Review of Interchange Fee and Customer Charges</w:t>
      </w:r>
    </w:p>
    <w:p w:rsidR="002A4289" w:rsidRPr="00C760EA" w:rsidRDefault="002A4289" w:rsidP="002A4289">
      <w:pPr>
        <w:pStyle w:val="NormalWeb"/>
        <w:shd w:val="clear" w:color="auto" w:fill="FFFFFF"/>
        <w:spacing w:before="0" w:beforeAutospacing="0" w:after="0" w:afterAutospacing="0"/>
        <w:jc w:val="both"/>
        <w:rPr>
          <w:b/>
          <w:bCs/>
          <w:color w:val="000000"/>
        </w:rPr>
      </w:pPr>
    </w:p>
    <w:p w:rsidR="002A4289" w:rsidRDefault="002A4289" w:rsidP="002A4289">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RBI/2021-22/52DPSS.CO.OD.No.S-182/06.07.011/2021-22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10, 2021</w:t>
      </w:r>
    </w:p>
    <w:p w:rsidR="002A4289" w:rsidRPr="00762028" w:rsidRDefault="002A4289" w:rsidP="002A4289">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A4289" w:rsidRPr="00762028" w:rsidRDefault="002A4289" w:rsidP="002A4289">
      <w:pPr>
        <w:pStyle w:val="NormalWeb"/>
        <w:shd w:val="clear" w:color="auto" w:fill="FFFFFF"/>
        <w:spacing w:before="0" w:beforeAutospacing="0" w:after="0" w:afterAutospacing="0"/>
        <w:jc w:val="both"/>
        <w:rPr>
          <w:i/>
          <w:color w:val="000000"/>
        </w:rPr>
      </w:pPr>
      <w:r w:rsidRPr="00762028">
        <w:rPr>
          <w:i/>
          <w:color w:val="000000"/>
        </w:rPr>
        <w:t>The Chairman and Managing Director / Chief Executive Officer, All Scheduled Commercial Banks including RRBs / Urban Co-operative Banks / State Co-operative Banks / District Central Co-operative Banks / Authorised ATM Network Operators / Card Payment Network Operators / White Label ATM Operators</w:t>
      </w:r>
    </w:p>
    <w:p w:rsidR="002A4289" w:rsidRPr="00C760EA" w:rsidRDefault="002A4289" w:rsidP="002A4289">
      <w:pPr>
        <w:pStyle w:val="NormalWeb"/>
        <w:shd w:val="clear" w:color="auto" w:fill="FFFFFF"/>
        <w:spacing w:before="0" w:beforeAutospacing="0" w:after="0" w:afterAutospacing="0"/>
        <w:jc w:val="both"/>
        <w:rPr>
          <w:color w:val="000000"/>
        </w:rPr>
      </w:pPr>
    </w:p>
    <w:p w:rsidR="002A4289" w:rsidRPr="00C760EA" w:rsidRDefault="002A4289" w:rsidP="002A4289">
      <w:pPr>
        <w:pStyle w:val="NormalWeb"/>
        <w:shd w:val="clear" w:color="auto" w:fill="FFFFFF"/>
        <w:spacing w:before="0" w:beforeAutospacing="0" w:after="0" w:afterAutospacing="0"/>
        <w:jc w:val="both"/>
        <w:rPr>
          <w:color w:val="000000"/>
        </w:rPr>
      </w:pPr>
      <w:r w:rsidRPr="00C760EA">
        <w:rPr>
          <w:color w:val="000000"/>
        </w:rPr>
        <w:t>The Reserve Bank of India had constituted a Committee in </w:t>
      </w:r>
      <w:hyperlink r:id="rId12" w:tgtFrame="_blank" w:history="1">
        <w:r w:rsidRPr="00C760EA">
          <w:rPr>
            <w:rStyle w:val="Hyperlink"/>
          </w:rPr>
          <w:t>June 2019</w:t>
        </w:r>
      </w:hyperlink>
      <w:r w:rsidRPr="00C760EA">
        <w:rPr>
          <w:color w:val="000000"/>
        </w:rPr>
        <w:t> under the Chairmanship of the Chief Executive, Indian Banks’ Association to review the entire gamut of Automated Teller Machine (ATM) charges and fees with particular focus on interchange structure for ATM transactions.</w:t>
      </w:r>
    </w:p>
    <w:p w:rsidR="002A4289" w:rsidRDefault="002A4289" w:rsidP="002A4289">
      <w:pPr>
        <w:pStyle w:val="NormalWeb"/>
        <w:shd w:val="clear" w:color="auto" w:fill="FFFFFF"/>
        <w:spacing w:before="0" w:beforeAutospacing="0" w:after="0" w:afterAutospacing="0"/>
        <w:jc w:val="both"/>
        <w:rPr>
          <w:color w:val="000000"/>
        </w:rPr>
      </w:pPr>
    </w:p>
    <w:p w:rsidR="002A4289" w:rsidRPr="00C760EA" w:rsidRDefault="002A4289" w:rsidP="002A4289">
      <w:pPr>
        <w:pStyle w:val="NormalWeb"/>
        <w:shd w:val="clear" w:color="auto" w:fill="FFFFFF"/>
        <w:spacing w:before="0" w:beforeAutospacing="0" w:after="0" w:afterAutospacing="0"/>
        <w:jc w:val="both"/>
        <w:rPr>
          <w:color w:val="000000"/>
        </w:rPr>
      </w:pPr>
      <w:r w:rsidRPr="00C760EA">
        <w:rPr>
          <w:color w:val="000000"/>
        </w:rPr>
        <w:t xml:space="preserve">2. The recommendations of the Committee have been comprehensively examined. It is also observed that the last change in interchange fee structure for ATM transactions was in August 2012, while the charges payable by customers were last revised in August 2014. A substantial time has thus elapsed since these fees were last changed. Accordingly, given the increasing cost of ATM </w:t>
      </w:r>
      <w:r w:rsidRPr="00C760EA">
        <w:rPr>
          <w:color w:val="000000"/>
        </w:rPr>
        <w:lastRenderedPageBreak/>
        <w:t>deployment and expenses towards ATM maintenance incurred by banks / white label ATM operators, as also considering the need to balance expectations of stakeholder entities and customer convenience, it has been decided as under :</w:t>
      </w:r>
    </w:p>
    <w:p w:rsidR="002A4289" w:rsidRPr="00C760EA" w:rsidRDefault="002A4289" w:rsidP="002A4289">
      <w:pPr>
        <w:pStyle w:val="NormalWeb"/>
        <w:numPr>
          <w:ilvl w:val="0"/>
          <w:numId w:val="1"/>
        </w:numPr>
        <w:shd w:val="clear" w:color="auto" w:fill="FFFFFF"/>
        <w:spacing w:before="0" w:beforeAutospacing="0" w:after="0" w:afterAutospacing="0"/>
        <w:jc w:val="both"/>
        <w:rPr>
          <w:color w:val="000000"/>
        </w:rPr>
      </w:pPr>
      <w:r w:rsidRPr="00C760EA">
        <w:rPr>
          <w:color w:val="000000"/>
        </w:rPr>
        <w:t>Allow increase in interchange fee per transaction from ₹15 to ₹17 for financial transactions and from ₹5 to ₹6 for non-financial transactions in all centres. This shall be effective from August 1, 2021.</w:t>
      </w:r>
    </w:p>
    <w:p w:rsidR="002A4289" w:rsidRPr="00C760EA" w:rsidRDefault="002A4289" w:rsidP="002A4289">
      <w:pPr>
        <w:pStyle w:val="NormalWeb"/>
        <w:numPr>
          <w:ilvl w:val="0"/>
          <w:numId w:val="1"/>
        </w:numPr>
        <w:shd w:val="clear" w:color="auto" w:fill="FFFFFF"/>
        <w:spacing w:before="0" w:beforeAutospacing="0" w:after="0" w:afterAutospacing="0"/>
        <w:jc w:val="both"/>
        <w:rPr>
          <w:color w:val="000000"/>
        </w:rPr>
      </w:pPr>
      <w:r w:rsidRPr="00C760EA">
        <w:rPr>
          <w:color w:val="000000"/>
        </w:rPr>
        <w:t>Customers are eligible for five free transactions (inclusive of financial and non-financial transactions) every month from their own bank ATMs. They are also eligible for free transactions (inclusive of financial and non-financial transactions) from other bank ATMs viz. three transactions in metro centres and five transactions in non-metro centres. Beyond the free transactions, the ceiling / cap on customer charges is ₹20 per transaction, as prescribed vide </w:t>
      </w:r>
      <w:hyperlink r:id="rId13" w:tgtFrame="_blank" w:history="1">
        <w:r w:rsidRPr="00C760EA">
          <w:rPr>
            <w:rStyle w:val="Hyperlink"/>
          </w:rPr>
          <w:t>circular DPSS.CO.PD.No.316/02.10.002/2014-2015 dated August 14, 2014</w:t>
        </w:r>
      </w:hyperlink>
      <w:r w:rsidRPr="00C760EA">
        <w:rPr>
          <w:color w:val="000000"/>
        </w:rPr>
        <w:t>. To compensate the banks for the higher interchange fee and given the general escalation in costs, they are allowed to increase the customer charges to ₹21 per transaction. This increase shall be effective from January 1, 2022.</w:t>
      </w:r>
    </w:p>
    <w:p w:rsidR="002A4289" w:rsidRPr="00C760EA" w:rsidRDefault="002A4289" w:rsidP="002A4289">
      <w:pPr>
        <w:pStyle w:val="NormalWeb"/>
        <w:numPr>
          <w:ilvl w:val="0"/>
          <w:numId w:val="1"/>
        </w:numPr>
        <w:shd w:val="clear" w:color="auto" w:fill="FFFFFF"/>
        <w:spacing w:before="0" w:beforeAutospacing="0" w:after="0" w:afterAutospacing="0"/>
        <w:jc w:val="both"/>
        <w:rPr>
          <w:color w:val="000000"/>
        </w:rPr>
      </w:pPr>
      <w:r w:rsidRPr="00C760EA">
        <w:rPr>
          <w:color w:val="000000"/>
        </w:rPr>
        <w:t>Applicable taxes, if any, shall be additionally payable.</w:t>
      </w:r>
    </w:p>
    <w:p w:rsidR="002A4289" w:rsidRPr="00C760EA" w:rsidRDefault="002A4289" w:rsidP="002A4289">
      <w:pPr>
        <w:pStyle w:val="NormalWeb"/>
        <w:numPr>
          <w:ilvl w:val="0"/>
          <w:numId w:val="1"/>
        </w:numPr>
        <w:shd w:val="clear" w:color="auto" w:fill="FFFFFF"/>
        <w:spacing w:before="0" w:beforeAutospacing="0" w:after="0" w:afterAutospacing="0"/>
        <w:jc w:val="both"/>
        <w:rPr>
          <w:color w:val="000000"/>
        </w:rPr>
      </w:pPr>
      <w:r w:rsidRPr="00C760EA">
        <w:rPr>
          <w:color w:val="000000"/>
        </w:rPr>
        <w:t>These instructions shall also apply, mutatis mutandis, to transactions done at Cash Recycler Machines (other than for cash deposit transactions).</w:t>
      </w:r>
    </w:p>
    <w:p w:rsidR="002A4289" w:rsidRDefault="002A4289" w:rsidP="002A4289">
      <w:pPr>
        <w:pStyle w:val="NormalWeb"/>
        <w:shd w:val="clear" w:color="auto" w:fill="FFFFFF"/>
        <w:spacing w:before="0" w:beforeAutospacing="0" w:after="0" w:afterAutospacing="0"/>
        <w:jc w:val="both"/>
        <w:rPr>
          <w:color w:val="000000"/>
        </w:rPr>
      </w:pPr>
    </w:p>
    <w:p w:rsidR="002A4289" w:rsidRPr="00C760EA" w:rsidRDefault="002A4289" w:rsidP="002A4289">
      <w:pPr>
        <w:pStyle w:val="NormalWeb"/>
        <w:shd w:val="clear" w:color="auto" w:fill="FFFFFF"/>
        <w:spacing w:before="0" w:beforeAutospacing="0" w:after="0" w:afterAutospacing="0"/>
        <w:jc w:val="both"/>
        <w:rPr>
          <w:color w:val="000000"/>
        </w:rPr>
      </w:pPr>
      <w:r w:rsidRPr="00C760EA">
        <w:rPr>
          <w:color w:val="000000"/>
        </w:rPr>
        <w:t>3. This directive is issued under Section 10(2) read with Section 18 of the Payment and Settlement Systems Act, 2007 (Act 51 of 2007).</w:t>
      </w:r>
    </w:p>
    <w:p w:rsidR="002A4289" w:rsidRPr="00C760EA" w:rsidRDefault="002A4289" w:rsidP="002A4289">
      <w:pPr>
        <w:pStyle w:val="NormalWeb"/>
        <w:pBdr>
          <w:bottom w:val="single" w:sz="12" w:space="1" w:color="auto"/>
        </w:pBdr>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b/>
          <w:bCs/>
          <w:color w:val="000000"/>
        </w:rPr>
      </w:pPr>
      <w:r>
        <w:rPr>
          <w:b/>
          <w:bCs/>
          <w:color w:val="000000"/>
        </w:rPr>
        <w:t xml:space="preserve">5. </w:t>
      </w:r>
      <w:r w:rsidRPr="00C760EA">
        <w:rPr>
          <w:b/>
          <w:bCs/>
          <w:color w:val="000000"/>
        </w:rPr>
        <w:t>Resolution Framework - 2.0: Resolution of Covid-19 related stress of Micro, Small and Medium Enterprises (MSMEs) – Revision in the threshold for aggregate exposure</w:t>
      </w:r>
    </w:p>
    <w:p w:rsidR="00EF3593" w:rsidRPr="00C760EA" w:rsidRDefault="00EF3593" w:rsidP="00EF3593">
      <w:pPr>
        <w:pStyle w:val="NormalWeb"/>
        <w:shd w:val="clear" w:color="auto" w:fill="FFFFFF"/>
        <w:spacing w:before="0" w:beforeAutospacing="0" w:after="0" w:afterAutospacing="0"/>
        <w:jc w:val="both"/>
        <w:rPr>
          <w:b/>
          <w:bCs/>
          <w:color w:val="000000"/>
        </w:rPr>
      </w:pPr>
    </w:p>
    <w:p w:rsidR="00EF3593" w:rsidRPr="00C760EA" w:rsidRDefault="00EF3593" w:rsidP="00EF3593">
      <w:pPr>
        <w:pStyle w:val="NormalWeb"/>
        <w:spacing w:before="0" w:beforeAutospacing="0" w:after="0" w:afterAutospacing="0"/>
        <w:jc w:val="both"/>
        <w:rPr>
          <w:b/>
          <w:color w:val="000000"/>
        </w:rPr>
      </w:pPr>
      <w:r w:rsidRPr="00C760EA">
        <w:rPr>
          <w:b/>
          <w:color w:val="000000"/>
        </w:rPr>
        <w:t xml:space="preserve">RBI/2021-22/47 DOR.STR.REC.21/21.04.048/2021-22 </w:t>
      </w:r>
      <w:r w:rsidRPr="00C760EA">
        <w:rPr>
          <w:b/>
          <w:color w:val="000000"/>
        </w:rPr>
        <w:tab/>
      </w:r>
      <w:r w:rsidRPr="00C760EA">
        <w:rPr>
          <w:b/>
          <w:color w:val="000000"/>
        </w:rPr>
        <w:tab/>
        <w:t>June 4, 2021</w:t>
      </w:r>
    </w:p>
    <w:p w:rsidR="00EF3593" w:rsidRDefault="00EF3593" w:rsidP="00EF3593">
      <w:pPr>
        <w:pStyle w:val="NormalWeb"/>
        <w:spacing w:before="0" w:beforeAutospacing="0" w:after="0" w:afterAutospacing="0"/>
        <w:jc w:val="both"/>
        <w:rPr>
          <w:color w:val="000000"/>
        </w:rPr>
      </w:pPr>
    </w:p>
    <w:p w:rsidR="00EF3593" w:rsidRPr="00762028" w:rsidRDefault="00EF3593" w:rsidP="00EF3593">
      <w:pPr>
        <w:pStyle w:val="NormalWeb"/>
        <w:spacing w:before="0" w:beforeAutospacing="0" w:after="0" w:afterAutospacing="0"/>
        <w:jc w:val="both"/>
        <w:rPr>
          <w:i/>
          <w:color w:val="000000"/>
        </w:rPr>
      </w:pPr>
      <w:r w:rsidRPr="00762028">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EF3593" w:rsidRDefault="00EF3593" w:rsidP="00EF3593">
      <w:pPr>
        <w:pStyle w:val="NormalWeb"/>
        <w:spacing w:before="0" w:beforeAutospacing="0" w:after="0" w:afterAutospacing="0"/>
        <w:jc w:val="both"/>
        <w:rPr>
          <w:color w:val="000000"/>
        </w:rPr>
      </w:pPr>
    </w:p>
    <w:p w:rsidR="00EF3593" w:rsidRPr="00C760EA" w:rsidRDefault="00EF3593" w:rsidP="00EF3593">
      <w:pPr>
        <w:pStyle w:val="NormalWeb"/>
        <w:spacing w:before="0" w:beforeAutospacing="0" w:after="0" w:afterAutospacing="0"/>
        <w:jc w:val="both"/>
        <w:rPr>
          <w:color w:val="000000"/>
        </w:rPr>
      </w:pPr>
      <w:r w:rsidRPr="00C760EA">
        <w:rPr>
          <w:color w:val="000000"/>
        </w:rPr>
        <w:t>A reference is invited to the </w:t>
      </w:r>
      <w:hyperlink r:id="rId14" w:tgtFrame="_blank" w:history="1">
        <w:r w:rsidRPr="00C760EA">
          <w:rPr>
            <w:rStyle w:val="Hyperlink"/>
          </w:rPr>
          <w:t>circular DOR.STR.REC.12/21.04.048/2021-22</w:t>
        </w:r>
      </w:hyperlink>
      <w:r w:rsidRPr="00C760EA">
        <w:rPr>
          <w:color w:val="000000"/>
        </w:rPr>
        <w:t> on “Resolution Framework 2.0 – Resolution of Covid-19 related stress of Micro, Small and Medium Enterprises (MSMEs)” dated May 5, 2021.</w:t>
      </w:r>
    </w:p>
    <w:p w:rsidR="00EF3593" w:rsidRDefault="00EF3593" w:rsidP="00EF3593">
      <w:pPr>
        <w:pStyle w:val="NormalWeb"/>
        <w:spacing w:before="0" w:beforeAutospacing="0" w:after="0" w:afterAutospacing="0"/>
        <w:jc w:val="both"/>
        <w:rPr>
          <w:color w:val="000000"/>
        </w:rPr>
      </w:pPr>
    </w:p>
    <w:p w:rsidR="00EF3593" w:rsidRPr="00C760EA" w:rsidRDefault="00EF3593" w:rsidP="00EF3593">
      <w:pPr>
        <w:pStyle w:val="NormalWeb"/>
        <w:spacing w:before="0" w:beforeAutospacing="0" w:after="0" w:afterAutospacing="0"/>
        <w:jc w:val="both"/>
        <w:rPr>
          <w:color w:val="000000"/>
        </w:rPr>
      </w:pPr>
      <w:r w:rsidRPr="00C760EA">
        <w:rPr>
          <w:color w:val="000000"/>
        </w:rPr>
        <w:t>2. Clause 2 of the above circular specifies the eligibility conditions for MSME accounts to be considered for restructuring under the framework, which </w:t>
      </w:r>
      <w:r w:rsidRPr="00C760EA">
        <w:rPr>
          <w:rStyle w:val="Emphasis"/>
          <w:color w:val="000000"/>
        </w:rPr>
        <w:t>inter alia</w:t>
      </w:r>
      <w:r w:rsidRPr="00C760EA">
        <w:rPr>
          <w:color w:val="000000"/>
        </w:rPr>
        <w:t> include sub-clause (iii) which states that the aggregate exposure, including non-fund based facilities, of all lending institutions to the MSME borrower should not exceed ₹25 crore as on March 31, 2021.</w:t>
      </w:r>
    </w:p>
    <w:p w:rsidR="00EF3593" w:rsidRDefault="00EF3593" w:rsidP="00EF3593">
      <w:pPr>
        <w:pStyle w:val="NormalWeb"/>
        <w:spacing w:before="0" w:beforeAutospacing="0" w:after="0" w:afterAutospacing="0"/>
        <w:jc w:val="both"/>
        <w:rPr>
          <w:color w:val="000000"/>
        </w:rPr>
      </w:pPr>
    </w:p>
    <w:p w:rsidR="00EF3593" w:rsidRPr="00C760EA" w:rsidRDefault="00EF3593" w:rsidP="00EF3593">
      <w:pPr>
        <w:pStyle w:val="NormalWeb"/>
        <w:spacing w:before="0" w:beforeAutospacing="0" w:after="0" w:afterAutospacing="0"/>
        <w:jc w:val="both"/>
        <w:rPr>
          <w:color w:val="000000"/>
        </w:rPr>
      </w:pPr>
      <w:r w:rsidRPr="00C760EA">
        <w:rPr>
          <w:color w:val="000000"/>
        </w:rPr>
        <w:t>3. Based on a review, it has been decided to enhance the above limit from ₹25 crore to ₹50 crore.</w:t>
      </w:r>
    </w:p>
    <w:p w:rsidR="00EF3593" w:rsidRDefault="00EF3593" w:rsidP="00EF3593">
      <w:pPr>
        <w:pStyle w:val="NormalWeb"/>
        <w:spacing w:before="0" w:beforeAutospacing="0" w:after="0" w:afterAutospacing="0"/>
        <w:jc w:val="both"/>
        <w:rPr>
          <w:color w:val="000000"/>
        </w:rPr>
      </w:pPr>
    </w:p>
    <w:p w:rsidR="00EF3593" w:rsidRPr="00C760EA" w:rsidRDefault="00EF3593" w:rsidP="00EF3593">
      <w:pPr>
        <w:pStyle w:val="NormalWeb"/>
        <w:spacing w:before="0" w:beforeAutospacing="0" w:after="0" w:afterAutospacing="0"/>
        <w:jc w:val="both"/>
        <w:rPr>
          <w:color w:val="000000"/>
        </w:rPr>
      </w:pPr>
      <w:r w:rsidRPr="00C760EA">
        <w:rPr>
          <w:color w:val="000000"/>
        </w:rPr>
        <w:t>4. Consequently, clause 2(v) would stand modified as under:</w:t>
      </w:r>
    </w:p>
    <w:p w:rsidR="00EF3593" w:rsidRPr="00C760EA" w:rsidRDefault="00EF3593" w:rsidP="00EF3593">
      <w:pPr>
        <w:pStyle w:val="NormalWeb"/>
        <w:spacing w:before="0" w:beforeAutospacing="0" w:after="0" w:afterAutospacing="0"/>
        <w:jc w:val="both"/>
        <w:rPr>
          <w:color w:val="000000"/>
        </w:rPr>
      </w:pPr>
      <w:r w:rsidRPr="00C760EA">
        <w:rPr>
          <w:color w:val="000000"/>
        </w:rPr>
        <w:lastRenderedPageBreak/>
        <w:t>“(v) The borrower’s account was not restructured in terms of the </w:t>
      </w:r>
      <w:hyperlink r:id="rId15" w:tgtFrame="_blank" w:history="1">
        <w:r w:rsidRPr="00C760EA">
          <w:rPr>
            <w:rStyle w:val="Hyperlink"/>
          </w:rPr>
          <w:t>circulars DOR.No.BP.BC/4/21.04.048/2020-21 dated August 6, 2020</w:t>
        </w:r>
      </w:hyperlink>
      <w:r w:rsidRPr="00C760EA">
        <w:rPr>
          <w:color w:val="000000"/>
        </w:rPr>
        <w:t>; </w:t>
      </w:r>
      <w:hyperlink r:id="rId16" w:tgtFrame="_blank" w:history="1">
        <w:r w:rsidRPr="00C760EA">
          <w:rPr>
            <w:rStyle w:val="Hyperlink"/>
          </w:rPr>
          <w:t>DOR.No.BP.BC.34/21.04.048/2019-20 dated February 11, 2020</w:t>
        </w:r>
      </w:hyperlink>
      <w:r w:rsidRPr="00C760EA">
        <w:rPr>
          <w:color w:val="000000"/>
        </w:rPr>
        <w:t>; or </w:t>
      </w:r>
      <w:hyperlink r:id="rId17" w:tgtFrame="_blank" w:history="1">
        <w:r w:rsidRPr="00C760EA">
          <w:rPr>
            <w:rStyle w:val="Hyperlink"/>
          </w:rPr>
          <w:t>DBR.No.BP.BC.18/21.04.048/2018-19 dated January 1, 2019</w:t>
        </w:r>
      </w:hyperlink>
      <w:r w:rsidRPr="00C760EA">
        <w:rPr>
          <w:color w:val="000000"/>
        </w:rPr>
        <w:t> (collectively referred to as MSME restructuring circulars) or the </w:t>
      </w:r>
      <w:hyperlink r:id="rId18" w:tgtFrame="_blank" w:history="1">
        <w:r w:rsidRPr="00C760EA">
          <w:rPr>
            <w:rStyle w:val="Hyperlink"/>
          </w:rPr>
          <w:t>circular DOR.No.BP.BC/3/21.04.048/2020-21 dated August 6, 2020</w:t>
        </w:r>
      </w:hyperlink>
      <w:r w:rsidRPr="00C760EA">
        <w:rPr>
          <w:color w:val="000000"/>
        </w:rPr>
        <w:t> on “Resolution Framework for COVID-19-related Stress.”</w:t>
      </w:r>
    </w:p>
    <w:p w:rsidR="00EF3593"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r w:rsidRPr="00C760EA">
        <w:rPr>
          <w:color w:val="000000"/>
        </w:rPr>
        <w:t>5. All other provisions of the circular remain unchanged.</w:t>
      </w:r>
    </w:p>
    <w:p w:rsidR="00EF3593" w:rsidRPr="00C760EA" w:rsidRDefault="00EF3593" w:rsidP="00EF3593">
      <w:pPr>
        <w:pStyle w:val="NormalWeb"/>
        <w:pBdr>
          <w:bottom w:val="single" w:sz="12" w:space="1" w:color="auto"/>
        </w:pBdr>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bCs/>
          <w:color w:val="000000"/>
        </w:rPr>
      </w:pPr>
      <w:r>
        <w:rPr>
          <w:color w:val="000000"/>
        </w:rPr>
        <w:t>6.</w:t>
      </w:r>
      <w:r w:rsidRPr="00EF3593">
        <w:rPr>
          <w:b/>
          <w:bCs/>
          <w:color w:val="000000"/>
        </w:rPr>
        <w:t xml:space="preserve"> </w:t>
      </w:r>
      <w:r w:rsidRPr="00C760EA">
        <w:rPr>
          <w:b/>
          <w:bCs/>
          <w:color w:val="000000"/>
        </w:rPr>
        <w:t>Resolution Framework - 2.0: Resolution of Covid-19 related stress of Individuals and Small Businesses – Revision in the threshold for aggregate exposure</w:t>
      </w:r>
    </w:p>
    <w:p w:rsidR="00EF3593" w:rsidRPr="00C760EA" w:rsidRDefault="00EF3593" w:rsidP="00EF3593">
      <w:pPr>
        <w:pStyle w:val="NormalWeb"/>
        <w:shd w:val="clear" w:color="auto" w:fill="FFFFFF"/>
        <w:spacing w:before="0" w:beforeAutospacing="0" w:after="0" w:afterAutospacing="0"/>
        <w:jc w:val="both"/>
        <w:rPr>
          <w:bCs/>
          <w:color w:val="000000"/>
        </w:rPr>
      </w:pPr>
    </w:p>
    <w:p w:rsidR="00EF3593" w:rsidRPr="00C760EA" w:rsidRDefault="00EF3593" w:rsidP="00EF3593">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C760EA">
        <w:rPr>
          <w:rFonts w:ascii="Times New Roman" w:eastAsia="Times New Roman" w:hAnsi="Times New Roman" w:cs="Times New Roman"/>
          <w:b/>
          <w:color w:val="000000"/>
          <w:sz w:val="24"/>
          <w:szCs w:val="24"/>
          <w:lang w:eastAsia="en-IN"/>
        </w:rPr>
        <w:t xml:space="preserve">RBI/2021-22/46 DOR.STR.REC.20/21.04.048/2021-22 </w:t>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t>June 4, 2021</w:t>
      </w:r>
    </w:p>
    <w:p w:rsidR="00EF3593" w:rsidRDefault="00EF3593" w:rsidP="00EF3593">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EF3593" w:rsidRPr="00C760EA" w:rsidRDefault="00EF3593" w:rsidP="00EF3593">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C760EA">
        <w:rPr>
          <w:rFonts w:ascii="Times New Roman" w:eastAsia="Times New Roman" w:hAnsi="Times New Roman" w:cs="Times New Roman"/>
          <w:i/>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EF3593"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r w:rsidRPr="00C760EA">
        <w:rPr>
          <w:color w:val="000000"/>
        </w:rPr>
        <w:t>A reference is invited to circular DOR.STR.REC.11/21.04.048/2021-22 on “Resolution Framework – 2.0: Resolution of Covid-19 related stress of Individuals and Small Businesses” dated May 5, 2021.</w:t>
      </w:r>
    </w:p>
    <w:p w:rsidR="00EF3593" w:rsidRPr="00C760EA"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r w:rsidRPr="00C760EA">
        <w:rPr>
          <w:color w:val="000000"/>
        </w:rPr>
        <w:t>2. Clause 5 of the above circular specifies the eligible borrowers who may be considered for resolution under the framework and includes the following sub-clauses:</w:t>
      </w:r>
    </w:p>
    <w:p w:rsidR="00EF3593" w:rsidRPr="00C760EA"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r w:rsidRPr="00C760EA">
        <w:rPr>
          <w:color w:val="000000"/>
        </w:rPr>
        <w:t>(b) Individuals who have availed of loans and advances for business purposes and to whom the lending institutions have aggregate exposure of not more than ₹25 crore as on March 31, 2021.</w:t>
      </w:r>
    </w:p>
    <w:p w:rsidR="00EF3593" w:rsidRPr="00C760EA"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r w:rsidRPr="00C760EA">
        <w:rPr>
          <w:color w:val="000000"/>
        </w:rPr>
        <w:t>(c) Small businesses, including those engaged in retail and wholesale trade, other than those classified as MSME as on March 31, 2021, and to whom the lending institutions have aggregate exposure of not more than ₹25 crore as on March 31, 2021.</w:t>
      </w:r>
    </w:p>
    <w:p w:rsidR="00EF3593" w:rsidRPr="00C760EA"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r w:rsidRPr="00C760EA">
        <w:rPr>
          <w:color w:val="000000"/>
        </w:rPr>
        <w:t>3. Based on a review, it has been decided to enhance the above limits from ₹25 crore to ₹50 crore.</w:t>
      </w:r>
    </w:p>
    <w:p w:rsidR="00EF3593" w:rsidRPr="00C760EA" w:rsidRDefault="00EF3593" w:rsidP="00EF3593">
      <w:pPr>
        <w:pStyle w:val="NormalWeb"/>
        <w:shd w:val="clear" w:color="auto" w:fill="FFFFFF"/>
        <w:spacing w:before="0" w:beforeAutospacing="0" w:after="0" w:afterAutospacing="0"/>
        <w:jc w:val="both"/>
        <w:rPr>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r w:rsidRPr="00C760EA">
        <w:rPr>
          <w:color w:val="000000"/>
        </w:rPr>
        <w:t>4. All other provisions of the circular remain unchanged.</w:t>
      </w:r>
    </w:p>
    <w:p w:rsidR="00EF3593" w:rsidRPr="00C760EA" w:rsidRDefault="00EF3593" w:rsidP="00EF3593">
      <w:pPr>
        <w:pStyle w:val="NormalWeb"/>
        <w:pBdr>
          <w:bottom w:val="single" w:sz="12" w:space="1" w:color="auto"/>
        </w:pBdr>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b/>
          <w:bCs/>
          <w:color w:val="000000"/>
        </w:rPr>
      </w:pPr>
      <w:r>
        <w:rPr>
          <w:color w:val="000000"/>
        </w:rPr>
        <w:t>7.</w:t>
      </w:r>
      <w:r w:rsidRPr="00AB153A">
        <w:rPr>
          <w:b/>
          <w:bCs/>
          <w:color w:val="000000"/>
        </w:rPr>
        <w:t xml:space="preserve"> </w:t>
      </w:r>
      <w:r w:rsidRPr="00BE0E8C">
        <w:rPr>
          <w:b/>
          <w:bCs/>
          <w:color w:val="000000"/>
        </w:rPr>
        <w:t>Customer Due Diligence for transactions in Virtual Currencies (VC)</w:t>
      </w:r>
    </w:p>
    <w:p w:rsidR="00AB153A" w:rsidRDefault="00AB153A" w:rsidP="00AB153A">
      <w:pPr>
        <w:pStyle w:val="NormalWeb"/>
        <w:shd w:val="clear" w:color="auto" w:fill="FFFFFF"/>
        <w:spacing w:before="0" w:beforeAutospacing="0" w:after="0" w:afterAutospacing="0"/>
        <w:jc w:val="both"/>
        <w:rPr>
          <w:color w:val="000000"/>
        </w:rPr>
      </w:pPr>
    </w:p>
    <w:p w:rsidR="00AB153A" w:rsidRPr="00675F53" w:rsidRDefault="00AB153A" w:rsidP="00AB153A">
      <w:pPr>
        <w:pStyle w:val="NormalWeb"/>
        <w:shd w:val="clear" w:color="auto" w:fill="FFFFFF"/>
        <w:spacing w:before="0" w:beforeAutospacing="0" w:after="0" w:afterAutospacing="0"/>
        <w:jc w:val="both"/>
        <w:rPr>
          <w:b/>
          <w:color w:val="000000"/>
        </w:rPr>
      </w:pPr>
      <w:r w:rsidRPr="00675F53">
        <w:rPr>
          <w:b/>
          <w:color w:val="000000"/>
        </w:rPr>
        <w:t xml:space="preserve">RBI/2021-22/45 DOR. AML.REC 18 /14.01.001/2021-22 </w:t>
      </w:r>
      <w:r w:rsidRPr="00675F53">
        <w:rPr>
          <w:b/>
          <w:color w:val="000000"/>
        </w:rPr>
        <w:tab/>
      </w:r>
      <w:r w:rsidRPr="00675F53">
        <w:rPr>
          <w:b/>
          <w:color w:val="000000"/>
        </w:rPr>
        <w:tab/>
      </w:r>
      <w:r w:rsidRPr="00675F53">
        <w:rPr>
          <w:b/>
          <w:color w:val="000000"/>
        </w:rPr>
        <w:tab/>
        <w:t>May 31, 2021</w:t>
      </w:r>
    </w:p>
    <w:p w:rsidR="00AB153A" w:rsidRDefault="00AB153A" w:rsidP="00AB153A">
      <w:pPr>
        <w:pStyle w:val="NormalWeb"/>
        <w:shd w:val="clear" w:color="auto" w:fill="FFFFFF"/>
        <w:spacing w:before="0" w:beforeAutospacing="0" w:after="0" w:afterAutospacing="0"/>
        <w:jc w:val="both"/>
        <w:rPr>
          <w:color w:val="000000"/>
        </w:rPr>
      </w:pPr>
    </w:p>
    <w:p w:rsidR="00AB153A" w:rsidRPr="00675F53" w:rsidRDefault="00AB153A" w:rsidP="00AB153A">
      <w:pPr>
        <w:pStyle w:val="NormalWeb"/>
        <w:shd w:val="clear" w:color="auto" w:fill="FFFFFF"/>
        <w:spacing w:before="0" w:beforeAutospacing="0" w:after="0" w:afterAutospacing="0"/>
        <w:jc w:val="both"/>
        <w:rPr>
          <w:i/>
          <w:color w:val="000000"/>
        </w:rPr>
      </w:pPr>
      <w:r w:rsidRPr="00675F53">
        <w:rPr>
          <w:i/>
          <w:color w:val="000000"/>
        </w:rPr>
        <w:t>All Commercial and Co-operative Banks / Payments Banks/ Small Finance Banks /</w:t>
      </w:r>
      <w:r w:rsidRPr="00675F53">
        <w:rPr>
          <w:i/>
          <w:color w:val="000000"/>
        </w:rPr>
        <w:br/>
        <w:t>NBFCs / Payment System Providers</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It has come to our attention through media reports that certain banks/ regulated entities have cautioned their customers against dealing in virtual currencies by making a reference to the </w:t>
      </w:r>
      <w:hyperlink r:id="rId19" w:tgtFrame="_blank" w:history="1">
        <w:r w:rsidRPr="00BE0E8C">
          <w:rPr>
            <w:rStyle w:val="Hyperlink"/>
          </w:rPr>
          <w:t xml:space="preserve">RBI </w:t>
        </w:r>
        <w:r w:rsidRPr="00BE0E8C">
          <w:rPr>
            <w:rStyle w:val="Hyperlink"/>
          </w:rPr>
          <w:lastRenderedPageBreak/>
          <w:t>circular DBR.No.BP.BC.104/08.13.102/2017-18 dated April 06, 2018</w:t>
        </w:r>
      </w:hyperlink>
      <w:r w:rsidRPr="00BE0E8C">
        <w:rPr>
          <w:color w:val="000000"/>
        </w:rPr>
        <w:t>. Such references to the above circular by banks/ regulated entities are not in order as this  circular was set aside by the Hon’ble Supreme Court on March 04, 2020 in the matter of Writ Petition (Civil) No.528 of 2018 (Internet and Mobile Association of India v. Reserve Bank of India). As such, in view of the order of the Hon’ble Supreme Court, the circular is no longer valid from the date of the Supreme Court judgement, and therefore cannot be cited or quoted from.</w:t>
      </w:r>
    </w:p>
    <w:p w:rsidR="00AB153A" w:rsidRDefault="00AB153A" w:rsidP="00AB153A">
      <w:pPr>
        <w:pStyle w:val="NormalWeb"/>
        <w:pBdr>
          <w:bottom w:val="single" w:sz="12" w:space="1" w:color="auto"/>
        </w:pBdr>
        <w:shd w:val="clear" w:color="auto" w:fill="FFFFFF"/>
        <w:spacing w:before="0" w:beforeAutospacing="0" w:after="0" w:afterAutospacing="0"/>
        <w:jc w:val="both"/>
        <w:rPr>
          <w:color w:val="000000"/>
        </w:rPr>
      </w:pPr>
    </w:p>
    <w:p w:rsidR="00AB153A" w:rsidRDefault="00AB153A" w:rsidP="00AB153A">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2. Banks, as well as other entities addressed above, may, however, continue to carry out customer due diligence processes in line with regulations governing standards for Know Your Customer (KYC), Anti-Money Laundering (AML), Combating of Financing of Terrorism (CFT) and obligations of regulated entities under Prevention of Money Laundering Act, (PMLA), 2002 in addition to ensuring compliance with relevant provisions under Foreign Exchange Management Act (FEMA) for overseas remittances.</w:t>
      </w:r>
    </w:p>
    <w:p w:rsidR="00AB153A" w:rsidRPr="00BE0E8C" w:rsidRDefault="00AB153A" w:rsidP="00AB153A">
      <w:pPr>
        <w:pStyle w:val="NormalWeb"/>
        <w:pBdr>
          <w:bottom w:val="single" w:sz="12" w:space="1" w:color="auto"/>
        </w:pBdr>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b/>
          <w:bCs/>
          <w:color w:val="000000"/>
        </w:rPr>
      </w:pPr>
      <w:r>
        <w:rPr>
          <w:color w:val="000000"/>
        </w:rPr>
        <w:t>8.</w:t>
      </w:r>
      <w:r w:rsidRPr="00AB153A">
        <w:rPr>
          <w:b/>
          <w:bCs/>
          <w:color w:val="000000"/>
        </w:rPr>
        <w:t xml:space="preserve"> </w:t>
      </w:r>
      <w:r w:rsidRPr="00BE0E8C">
        <w:rPr>
          <w:b/>
          <w:bCs/>
          <w:color w:val="000000"/>
        </w:rPr>
        <w:t>Relaxation in timeline for compliance with various payment system requirements</w:t>
      </w:r>
    </w:p>
    <w:p w:rsidR="00AB153A" w:rsidRDefault="00AB153A" w:rsidP="00AB153A">
      <w:pPr>
        <w:pStyle w:val="NormalWeb"/>
        <w:shd w:val="clear" w:color="auto" w:fill="FFFFFF"/>
        <w:spacing w:before="0" w:beforeAutospacing="0" w:after="0" w:afterAutospacing="0"/>
        <w:jc w:val="both"/>
        <w:rPr>
          <w:bCs/>
          <w:color w:val="000000"/>
        </w:rPr>
      </w:pPr>
    </w:p>
    <w:p w:rsidR="00AB153A" w:rsidRPr="00BE0E8C" w:rsidRDefault="00AB153A" w:rsidP="00AB153A">
      <w:pPr>
        <w:pStyle w:val="NormalWeb"/>
        <w:shd w:val="clear" w:color="auto" w:fill="FFFFFF"/>
        <w:spacing w:before="0" w:beforeAutospacing="0" w:after="0" w:afterAutospacing="0"/>
        <w:jc w:val="both"/>
        <w:rPr>
          <w:b/>
          <w:bCs/>
          <w:color w:val="000000"/>
        </w:rPr>
      </w:pPr>
      <w:r w:rsidRPr="00BE0E8C">
        <w:rPr>
          <w:b/>
          <w:bCs/>
          <w:color w:val="000000"/>
        </w:rPr>
        <w:t>RBI/2021-22/41 CO.DPSS.POLC.No.S-106/02-14-003/2021-2022</w:t>
      </w:r>
      <w:r w:rsidRPr="00BE0E8C">
        <w:rPr>
          <w:b/>
          <w:bCs/>
          <w:color w:val="000000"/>
        </w:rPr>
        <w:tab/>
        <w:t>May 21, 2021</w:t>
      </w:r>
    </w:p>
    <w:p w:rsidR="00AB153A" w:rsidRDefault="00AB153A" w:rsidP="00AB153A">
      <w:pPr>
        <w:pStyle w:val="NormalWeb"/>
        <w:shd w:val="clear" w:color="auto" w:fill="FFFFFF"/>
        <w:spacing w:before="0" w:beforeAutospacing="0" w:after="0" w:afterAutospacing="0"/>
        <w:jc w:val="both"/>
        <w:rPr>
          <w:color w:val="000000"/>
        </w:rPr>
      </w:pPr>
    </w:p>
    <w:p w:rsidR="00AB153A" w:rsidRPr="00F34D77" w:rsidRDefault="00AB153A" w:rsidP="00AB153A">
      <w:pPr>
        <w:pStyle w:val="NormalWeb"/>
        <w:shd w:val="clear" w:color="auto" w:fill="FFFFFF"/>
        <w:spacing w:before="0" w:beforeAutospacing="0" w:after="0" w:afterAutospacing="0"/>
        <w:jc w:val="both"/>
        <w:rPr>
          <w:i/>
          <w:color w:val="000000"/>
        </w:rPr>
      </w:pPr>
      <w:r w:rsidRPr="00F34D77">
        <w:rPr>
          <w:i/>
          <w:color w:val="000000"/>
        </w:rPr>
        <w:t>The Chairman / Managing Director / Chief Executive Officer, All Scheduled Commercial Banks, including Regional Rural Banks / Urban Co-operative Banks / State Co-operative Banks, District Central Co-operative Banks / Payments Banks / Small Finance Banks / Local Area Banks / Non-Bank PPI Issuers / Authorised Payment System Operators / Participants</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A reference is invited to Reserve Bank of India instructions – (a) </w:t>
      </w:r>
      <w:hyperlink r:id="rId20" w:tgtFrame="_blank" w:history="1">
        <w:r w:rsidRPr="00BE0E8C">
          <w:rPr>
            <w:rStyle w:val="Hyperlink"/>
          </w:rPr>
          <w:t>DPSS.CO.PD.No.1164/02.14.006/2017-18 dated October 11, 2017</w:t>
        </w:r>
      </w:hyperlink>
      <w:r w:rsidRPr="00BE0E8C">
        <w:rPr>
          <w:color w:val="000000"/>
        </w:rPr>
        <w:t> (as updated from time to time) on Master Direction on Issuance and Operation of Prepaid Payment Instruments (PPI-MD); (b) </w:t>
      </w:r>
      <w:hyperlink r:id="rId21" w:tgtFrame="_blank" w:history="1">
        <w:r w:rsidRPr="00BE0E8C">
          <w:rPr>
            <w:rStyle w:val="Hyperlink"/>
          </w:rPr>
          <w:t>DPSS.CO.PD.No.629/02.01.014/2019-20 dated September 20, 2019</w:t>
        </w:r>
      </w:hyperlink>
      <w:r w:rsidRPr="00BE0E8C">
        <w:rPr>
          <w:color w:val="000000"/>
        </w:rPr>
        <w:t> on Harmonisation of Turn Around Time (TAT) and Customer Compensation for Failed Transactions using Authorised Payment Systems; (c) DPSS.CO.OD.No.1325/06.11.001/2019-20 dated January 10, 2020 on Scope and Coverage of System Audit of Payment Systems; (d) </w:t>
      </w:r>
      <w:hyperlink r:id="rId22" w:tgtFrame="_blank" w:history="1">
        <w:r w:rsidRPr="00BE0E8C">
          <w:rPr>
            <w:rStyle w:val="Hyperlink"/>
          </w:rPr>
          <w:t>DPSS.CO.PD.No.1810/02.14.008/2019-20 dated March 17, 2020</w:t>
        </w:r>
      </w:hyperlink>
      <w:r w:rsidRPr="00BE0E8C">
        <w:rPr>
          <w:color w:val="000000"/>
        </w:rPr>
        <w:t> on Guidelines on Regulation of Payment Aggregators (PAs) and Payment Gateways (PGs); and (e) </w:t>
      </w:r>
      <w:hyperlink r:id="rId23" w:tgtFrame="_blank" w:history="1">
        <w:r w:rsidRPr="00BE0E8C">
          <w:rPr>
            <w:rStyle w:val="Hyperlink"/>
          </w:rPr>
          <w:t>DPSS.CO.PD.No.1897/02.14.003/2019-20 dated June 4, 2020</w:t>
        </w:r>
      </w:hyperlink>
      <w:r w:rsidRPr="00BE0E8C">
        <w:rPr>
          <w:color w:val="000000"/>
        </w:rPr>
        <w:t> on Extension of Timeline for Compliance with Various Payment System Requirements.</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2. Keeping in view the resurgence of the COVID-19 pandemic and the representations received from various bank and non-bank entities, it has been decided to extend the timeline prescribed for compliance in respect of a few areas detailed in the </w:t>
      </w:r>
      <w:hyperlink r:id="rId24" w:anchor="AN" w:history="1">
        <w:r w:rsidRPr="00BE0E8C">
          <w:rPr>
            <w:rStyle w:val="Hyperlink"/>
          </w:rPr>
          <w:t>Annexure</w:t>
        </w:r>
      </w:hyperlink>
      <w:r w:rsidRPr="00BE0E8C">
        <w:rPr>
          <w:color w:val="000000"/>
        </w:rPr>
        <w:t>.</w:t>
      </w:r>
    </w:p>
    <w:p w:rsidR="00AB153A" w:rsidRDefault="00AB153A" w:rsidP="00AB153A">
      <w:pPr>
        <w:pStyle w:val="NormalWeb"/>
        <w:shd w:val="clear" w:color="auto" w:fill="FFFFFF"/>
        <w:spacing w:before="0" w:beforeAutospacing="0" w:after="0" w:afterAutospacing="0"/>
        <w:jc w:val="both"/>
        <w:rPr>
          <w:color w:val="000000"/>
        </w:rPr>
      </w:pPr>
    </w:p>
    <w:p w:rsidR="00AB153A" w:rsidRDefault="00AB153A" w:rsidP="00AB153A">
      <w:pPr>
        <w:pStyle w:val="NormalWeb"/>
        <w:shd w:val="clear" w:color="auto" w:fill="FFFFFF"/>
        <w:spacing w:before="0" w:beforeAutospacing="0" w:after="0" w:afterAutospacing="0"/>
        <w:jc w:val="both"/>
        <w:rPr>
          <w:color w:val="000000"/>
        </w:rPr>
      </w:pPr>
      <w:r w:rsidRPr="00BE0E8C">
        <w:rPr>
          <w:color w:val="000000"/>
        </w:rPr>
        <w:t>3. This directive is issued under Section 10(2) read with Section 18 of the Payment and Settlement Systems Act, 2007 (Act 51 of 2007).</w:t>
      </w:r>
    </w:p>
    <w:p w:rsidR="00AB153A" w:rsidRPr="00BE0E8C" w:rsidRDefault="00AB153A" w:rsidP="00AB153A">
      <w:pPr>
        <w:pStyle w:val="NormalWeb"/>
        <w:shd w:val="clear" w:color="auto" w:fill="FFFFFF"/>
        <w:spacing w:before="0" w:beforeAutospacing="0" w:after="0" w:afterAutospacing="0"/>
        <w:jc w:val="both"/>
        <w:rPr>
          <w:color w:val="000000"/>
        </w:rPr>
      </w:pPr>
    </w:p>
    <w:p w:rsidR="00AB153A" w:rsidRDefault="00AB153A" w:rsidP="00AB153A">
      <w:pPr>
        <w:pStyle w:val="head"/>
        <w:shd w:val="clear" w:color="auto" w:fill="FFFFFF"/>
        <w:spacing w:before="0" w:beforeAutospacing="0" w:after="0" w:afterAutospacing="0"/>
        <w:jc w:val="center"/>
        <w:rPr>
          <w:b/>
          <w:bCs/>
          <w:color w:val="000000"/>
        </w:rPr>
      </w:pPr>
      <w:r w:rsidRPr="00BE0E8C">
        <w:rPr>
          <w:b/>
          <w:bCs/>
          <w:color w:val="000000"/>
        </w:rPr>
        <w:t xml:space="preserve">Annexure </w:t>
      </w:r>
    </w:p>
    <w:p w:rsidR="00AB153A" w:rsidRPr="00BE0E8C" w:rsidRDefault="00AB153A" w:rsidP="00AB153A">
      <w:pPr>
        <w:pStyle w:val="head"/>
        <w:shd w:val="clear" w:color="auto" w:fill="FFFFFF"/>
        <w:spacing w:before="0" w:beforeAutospacing="0" w:after="0" w:afterAutospacing="0"/>
        <w:jc w:val="center"/>
        <w:rPr>
          <w:b/>
          <w:bCs/>
          <w:color w:val="000000"/>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4532"/>
        <w:gridCol w:w="2043"/>
        <w:gridCol w:w="1865"/>
      </w:tblGrid>
      <w:tr w:rsidR="00AB153A" w:rsidRPr="00BE0E8C" w:rsidTr="006A1807">
        <w:trPr>
          <w:jc w:val="center"/>
        </w:trPr>
        <w:tc>
          <w:tcPr>
            <w:tcW w:w="249" w:type="pct"/>
            <w:tcMar>
              <w:top w:w="0" w:type="dxa"/>
              <w:left w:w="45" w:type="dxa"/>
              <w:bottom w:w="0" w:type="dxa"/>
              <w:right w:w="45" w:type="dxa"/>
            </w:tcMar>
            <w:vAlign w:val="center"/>
            <w:hideMark/>
          </w:tcPr>
          <w:p w:rsidR="00AB153A" w:rsidRPr="00BE0E8C" w:rsidRDefault="00AB153A" w:rsidP="006A1807">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SN</w:t>
            </w:r>
          </w:p>
        </w:tc>
        <w:tc>
          <w:tcPr>
            <w:tcW w:w="2551" w:type="pct"/>
            <w:tcMar>
              <w:top w:w="0" w:type="dxa"/>
              <w:left w:w="45" w:type="dxa"/>
              <w:bottom w:w="0" w:type="dxa"/>
              <w:right w:w="45" w:type="dxa"/>
            </w:tcMar>
            <w:vAlign w:val="center"/>
            <w:hideMark/>
          </w:tcPr>
          <w:p w:rsidR="00AB153A" w:rsidRPr="00BE0E8C" w:rsidRDefault="00AB153A" w:rsidP="006A1807">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Instruction / Circular</w:t>
            </w:r>
          </w:p>
        </w:tc>
        <w:tc>
          <w:tcPr>
            <w:tcW w:w="1150" w:type="pct"/>
            <w:tcMar>
              <w:top w:w="0" w:type="dxa"/>
              <w:left w:w="45" w:type="dxa"/>
              <w:bottom w:w="0" w:type="dxa"/>
              <w:right w:w="45" w:type="dxa"/>
            </w:tcMar>
            <w:vAlign w:val="center"/>
            <w:hideMark/>
          </w:tcPr>
          <w:p w:rsidR="00AB153A" w:rsidRPr="00BE0E8C" w:rsidRDefault="00AB153A" w:rsidP="006A1807">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Present Timeline</w:t>
            </w:r>
          </w:p>
        </w:tc>
        <w:tc>
          <w:tcPr>
            <w:tcW w:w="1050" w:type="pct"/>
            <w:tcMar>
              <w:top w:w="0" w:type="dxa"/>
              <w:left w:w="45" w:type="dxa"/>
              <w:bottom w:w="0" w:type="dxa"/>
              <w:right w:w="45" w:type="dxa"/>
            </w:tcMar>
            <w:vAlign w:val="center"/>
            <w:hideMark/>
          </w:tcPr>
          <w:p w:rsidR="00AB153A" w:rsidRPr="00BE0E8C" w:rsidRDefault="00AB153A" w:rsidP="006A1807">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Revised Timeline</w:t>
            </w:r>
          </w:p>
        </w:tc>
      </w:tr>
      <w:tr w:rsidR="00AB153A" w:rsidRPr="00BE0E8C" w:rsidTr="006A1807">
        <w:trPr>
          <w:jc w:val="center"/>
        </w:trPr>
        <w:tc>
          <w:tcPr>
            <w:tcW w:w="0" w:type="auto"/>
            <w:tcMar>
              <w:top w:w="0" w:type="dxa"/>
              <w:left w:w="45" w:type="dxa"/>
              <w:bottom w:w="0" w:type="dxa"/>
              <w:right w:w="45" w:type="dxa"/>
            </w:tcMar>
            <w:hideMark/>
          </w:tcPr>
          <w:p w:rsidR="00AB153A" w:rsidRPr="00BE0E8C" w:rsidRDefault="00AB153A"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1.</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All existing non-bank PPI issuers (at the time of issuance of PPI-MD) to comply with the minimum positive net-worth requirement of Rs.15 crore for the financial position as on March 31, 2020 (audited balance sheet).</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March 31, 2021</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September 30, 2021</w:t>
            </w:r>
          </w:p>
        </w:tc>
      </w:tr>
      <w:tr w:rsidR="00AB153A" w:rsidRPr="00BE0E8C" w:rsidTr="006A1807">
        <w:trPr>
          <w:jc w:val="center"/>
        </w:trPr>
        <w:tc>
          <w:tcPr>
            <w:tcW w:w="0" w:type="auto"/>
            <w:tcMar>
              <w:top w:w="0" w:type="dxa"/>
              <w:left w:w="45" w:type="dxa"/>
              <w:bottom w:w="0" w:type="dxa"/>
              <w:right w:w="45" w:type="dxa"/>
            </w:tcMar>
            <w:hideMark/>
          </w:tcPr>
          <w:p w:rsidR="00AB153A" w:rsidRPr="00BE0E8C" w:rsidRDefault="00AB153A"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Harmonisation of TAT and customer compensation for failed transactions using authorised Payment Systems – “Calendar days” to be read as “Working days”.</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until December 31, 2020 (Calendar days from January 1, 2021)</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 Prospective – Until September 30, 2021</w:t>
            </w:r>
          </w:p>
        </w:tc>
      </w:tr>
      <w:tr w:rsidR="00AB153A" w:rsidRPr="00BE0E8C" w:rsidTr="006A1807">
        <w:trPr>
          <w:jc w:val="center"/>
        </w:trPr>
        <w:tc>
          <w:tcPr>
            <w:tcW w:w="0" w:type="auto"/>
            <w:tcMar>
              <w:top w:w="0" w:type="dxa"/>
              <w:left w:w="45" w:type="dxa"/>
              <w:bottom w:w="0" w:type="dxa"/>
              <w:right w:w="45" w:type="dxa"/>
            </w:tcMar>
            <w:hideMark/>
          </w:tcPr>
          <w:p w:rsidR="00AB153A" w:rsidRPr="00BE0E8C" w:rsidRDefault="00AB153A"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Authorised Payment System Operators (PSOs) are required to furnish System Audit Report conducted by CERT-IN empanelled auditors or a Certified Information Systems Auditor registered with Information Systems Audit and Control Association or by a holder of a Diploma in Information System Audit qualification of the Institute of Chartered Accountants of India, on an annual basis within two months of close of their respective financial year.</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May 31, 2021</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r w:rsidR="00AB153A" w:rsidRPr="00BE0E8C" w:rsidTr="006A1807">
        <w:trPr>
          <w:jc w:val="center"/>
        </w:trPr>
        <w:tc>
          <w:tcPr>
            <w:tcW w:w="0" w:type="auto"/>
            <w:tcMar>
              <w:top w:w="0" w:type="dxa"/>
              <w:left w:w="45" w:type="dxa"/>
              <w:bottom w:w="0" w:type="dxa"/>
              <w:right w:w="45" w:type="dxa"/>
            </w:tcMar>
            <w:hideMark/>
          </w:tcPr>
          <w:p w:rsidR="00AB153A" w:rsidRPr="00BE0E8C" w:rsidRDefault="00AB153A"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Existing non-bank entities offering PA services shall apply for authorisation on or before June 30, 2021.</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June 30, 2021</w:t>
            </w:r>
          </w:p>
        </w:tc>
        <w:tc>
          <w:tcPr>
            <w:tcW w:w="0" w:type="auto"/>
            <w:tcMar>
              <w:top w:w="0" w:type="dxa"/>
              <w:left w:w="45" w:type="dxa"/>
              <w:bottom w:w="0" w:type="dxa"/>
              <w:right w:w="45" w:type="dxa"/>
            </w:tcMar>
            <w:hideMark/>
          </w:tcPr>
          <w:p w:rsidR="00AB153A" w:rsidRPr="00BE0E8C" w:rsidRDefault="00AB153A"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bl>
    <w:p w:rsidR="00AB153A" w:rsidRDefault="00AB153A" w:rsidP="00AB153A">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Extension provided vide </w:t>
      </w:r>
      <w:hyperlink r:id="rId25" w:tgtFrame="_blank" w:history="1">
        <w:r w:rsidRPr="00BE0E8C">
          <w:rPr>
            <w:rStyle w:val="Hyperlink"/>
          </w:rPr>
          <w:t>circular CO.DPSS.POLC.No.S33/02-14-008/2020-2021 dated March 31, 2021</w:t>
        </w:r>
      </w:hyperlink>
      <w:r w:rsidRPr="00BE0E8C">
        <w:rPr>
          <w:color w:val="000000"/>
        </w:rPr>
        <w:t> to enable payment system providers and participants to put in place workable solutions to comply with the provisions of Paragraphs 7.4 and 10.4 of the </w:t>
      </w:r>
      <w:hyperlink r:id="rId26" w:tgtFrame="_blank" w:history="1">
        <w:r w:rsidRPr="00BE0E8C">
          <w:rPr>
            <w:rStyle w:val="Hyperlink"/>
          </w:rPr>
          <w:t>circular dated March 17, 2020</w:t>
        </w:r>
      </w:hyperlink>
      <w:r w:rsidRPr="00BE0E8C">
        <w:rPr>
          <w:color w:val="000000"/>
        </w:rPr>
        <w:t> will not be impacted.</w:t>
      </w:r>
    </w:p>
    <w:p w:rsidR="00AB153A" w:rsidRPr="00BE0E8C" w:rsidRDefault="00AB153A" w:rsidP="00AB153A">
      <w:pPr>
        <w:pStyle w:val="NormalWeb"/>
        <w:pBdr>
          <w:bottom w:val="single" w:sz="12" w:space="1" w:color="auto"/>
        </w:pBdr>
        <w:shd w:val="clear" w:color="auto" w:fill="FFFFFF"/>
        <w:spacing w:before="0" w:beforeAutospacing="0" w:after="0" w:afterAutospacing="0"/>
        <w:jc w:val="both"/>
        <w:rPr>
          <w:color w:val="000000"/>
        </w:rPr>
      </w:pPr>
    </w:p>
    <w:p w:rsidR="00AB153A" w:rsidRDefault="00AB153A" w:rsidP="00AB153A">
      <w:pPr>
        <w:pStyle w:val="NormalWeb"/>
        <w:shd w:val="clear" w:color="auto" w:fill="FFFFFF"/>
        <w:spacing w:before="0" w:beforeAutospacing="0" w:after="0" w:afterAutospacing="0"/>
        <w:jc w:val="both"/>
        <w:rPr>
          <w:b/>
          <w:bCs/>
          <w:color w:val="000000"/>
        </w:rPr>
      </w:pPr>
      <w:r>
        <w:rPr>
          <w:bCs/>
          <w:color w:val="000000"/>
        </w:rPr>
        <w:t>9.</w:t>
      </w:r>
      <w:r w:rsidRPr="00AB153A">
        <w:rPr>
          <w:b/>
          <w:bCs/>
          <w:color w:val="000000"/>
        </w:rPr>
        <w:t xml:space="preserve"> </w:t>
      </w:r>
      <w:r w:rsidRPr="00BE0E8C">
        <w:rPr>
          <w:b/>
          <w:bCs/>
          <w:color w:val="000000"/>
        </w:rPr>
        <w:t>Prepaid Payment Instruments (PPIs) – (i) Mandating Interoperability; (ii) Increasing the Limit to ₹2 lakh for Full-KYC PPIs; and (iii) Permitting Cash Withdrawal from Full-KYC PPIs of Non-Bank PPI Issuers</w:t>
      </w:r>
    </w:p>
    <w:p w:rsidR="00AB153A" w:rsidRPr="00BE0E8C" w:rsidRDefault="00AB153A" w:rsidP="00AB153A">
      <w:pPr>
        <w:pStyle w:val="NormalWeb"/>
        <w:shd w:val="clear" w:color="auto" w:fill="FFFFFF"/>
        <w:spacing w:before="0" w:beforeAutospacing="0" w:after="0" w:afterAutospacing="0"/>
        <w:jc w:val="both"/>
        <w:rPr>
          <w:b/>
          <w:bCs/>
          <w:color w:val="000000"/>
        </w:rPr>
      </w:pPr>
    </w:p>
    <w:p w:rsidR="00AB153A" w:rsidRPr="00BE0E8C" w:rsidRDefault="00AB153A" w:rsidP="00AB153A">
      <w:pPr>
        <w:pStyle w:val="NormalWeb"/>
        <w:shd w:val="clear" w:color="auto" w:fill="FFFFFF"/>
        <w:spacing w:before="0" w:beforeAutospacing="0" w:after="0" w:afterAutospacing="0"/>
        <w:jc w:val="both"/>
        <w:rPr>
          <w:b/>
          <w:color w:val="000000"/>
        </w:rPr>
      </w:pPr>
      <w:r w:rsidRPr="00BE0E8C">
        <w:rPr>
          <w:b/>
          <w:color w:val="000000"/>
        </w:rPr>
        <w:t xml:space="preserve">RBI/2021-22/40 DPSS.CO.PD.No.S-99/02.14.006/2021-22 </w:t>
      </w:r>
      <w:r w:rsidRPr="00BE0E8C">
        <w:rPr>
          <w:b/>
          <w:color w:val="000000"/>
        </w:rPr>
        <w:tab/>
      </w:r>
      <w:r w:rsidRPr="00BE0E8C">
        <w:rPr>
          <w:b/>
          <w:color w:val="000000"/>
        </w:rPr>
        <w:tab/>
        <w:t>May 19, 2021</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i/>
          <w:color w:val="000000"/>
        </w:rPr>
      </w:pPr>
      <w:r w:rsidRPr="00BE0E8C">
        <w:rPr>
          <w:i/>
          <w:color w:val="000000"/>
        </w:rPr>
        <w:t>All Bank and Non-Bank Prepaid Payment Instrument Issuers, System Providers and System Participants</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This has reference to paragraphs 10 and 11 of the </w:t>
      </w:r>
      <w:hyperlink r:id="rId27" w:tgtFrame="_blank" w:history="1">
        <w:r w:rsidRPr="00BE0E8C">
          <w:rPr>
            <w:rStyle w:val="Hyperlink"/>
          </w:rPr>
          <w:t>Statement on Developmental and Regulatory Policies dated April 07, 2021</w:t>
        </w:r>
      </w:hyperlink>
      <w:r w:rsidRPr="00BE0E8C">
        <w:rPr>
          <w:color w:val="000000"/>
        </w:rPr>
        <w:t> wherein it was announced that (a) PPI interoperability shall be made mandatory, (b) the limit for full-KYC PPIs shall be increased from ₹1 lakh to ₹2 lakh, and (c) cash withdrawal shall be permitted using full-KYC PPIs of non-bank PPI issuers.</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2. A reference is also invited to the </w:t>
      </w:r>
      <w:hyperlink r:id="rId28" w:tgtFrame="_blank" w:history="1">
        <w:r w:rsidRPr="00BE0E8C">
          <w:rPr>
            <w:rStyle w:val="Hyperlink"/>
          </w:rPr>
          <w:t>Master Direction DPSS.CO.PD.No.1164/02.14.006/2017-18 dated October 11, 2017</w:t>
        </w:r>
      </w:hyperlink>
      <w:r w:rsidRPr="00BE0E8C">
        <w:rPr>
          <w:color w:val="000000"/>
        </w:rPr>
        <w:t> on Issuance and Operation of PPIs (as amended from time to time) and </w:t>
      </w:r>
      <w:hyperlink r:id="rId29" w:tgtFrame="_blank" w:history="1">
        <w:r w:rsidRPr="00BE0E8C">
          <w:rPr>
            <w:rStyle w:val="Hyperlink"/>
          </w:rPr>
          <w:t>Circular DPSS.CO.PD.No.808/02.14.006/2018-19 dated October 16, 2018</w:t>
        </w:r>
      </w:hyperlink>
      <w:r w:rsidRPr="00BE0E8C">
        <w:rPr>
          <w:color w:val="000000"/>
        </w:rPr>
        <w:t> on PPIs – Guidelines for Interoperability.</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3. Accordingly, the following are advised –</w:t>
      </w:r>
    </w:p>
    <w:p w:rsidR="00AB153A" w:rsidRPr="00BE0E8C" w:rsidRDefault="00AB153A" w:rsidP="00AB153A">
      <w:pPr>
        <w:pStyle w:val="NormalWeb"/>
        <w:numPr>
          <w:ilvl w:val="0"/>
          <w:numId w:val="2"/>
        </w:numPr>
        <w:shd w:val="clear" w:color="auto" w:fill="FFFFFF"/>
        <w:spacing w:before="0" w:beforeAutospacing="0" w:after="0" w:afterAutospacing="0"/>
        <w:jc w:val="both"/>
        <w:rPr>
          <w:color w:val="000000"/>
        </w:rPr>
      </w:pPr>
      <w:r w:rsidRPr="00BE0E8C">
        <w:rPr>
          <w:color w:val="000000"/>
        </w:rPr>
        <w:t>It shall be mandatory for PPI issuers to give the holders of full-KYC PPIs (KYC-compliant PPIs) interoperability through authorised card networks (for PPIs in the form of cards) and UPI (for PPIs in the form of electronic wallets);</w:t>
      </w:r>
    </w:p>
    <w:p w:rsidR="00AB153A" w:rsidRPr="00BE0E8C" w:rsidRDefault="00AB153A" w:rsidP="00AB153A">
      <w:pPr>
        <w:pStyle w:val="NormalWeb"/>
        <w:numPr>
          <w:ilvl w:val="0"/>
          <w:numId w:val="2"/>
        </w:numPr>
        <w:shd w:val="clear" w:color="auto" w:fill="FFFFFF"/>
        <w:spacing w:before="0" w:beforeAutospacing="0" w:after="0" w:afterAutospacing="0"/>
        <w:jc w:val="both"/>
        <w:rPr>
          <w:color w:val="000000"/>
        </w:rPr>
      </w:pPr>
      <w:r w:rsidRPr="00BE0E8C">
        <w:rPr>
          <w:color w:val="000000"/>
        </w:rPr>
        <w:t>Interoperability shall be mandatory on the acceptance side as well;</w:t>
      </w:r>
    </w:p>
    <w:p w:rsidR="00AB153A" w:rsidRPr="00BE0E8C" w:rsidRDefault="00AB153A" w:rsidP="00AB153A">
      <w:pPr>
        <w:pStyle w:val="NormalWeb"/>
        <w:numPr>
          <w:ilvl w:val="0"/>
          <w:numId w:val="2"/>
        </w:numPr>
        <w:shd w:val="clear" w:color="auto" w:fill="FFFFFF"/>
        <w:spacing w:before="0" w:beforeAutospacing="0" w:after="0" w:afterAutospacing="0"/>
        <w:jc w:val="both"/>
        <w:rPr>
          <w:color w:val="000000"/>
        </w:rPr>
      </w:pPr>
      <w:r w:rsidRPr="00BE0E8C">
        <w:rPr>
          <w:color w:val="000000"/>
        </w:rPr>
        <w:t>The interoperability shall be enabled by March 31, 2022; and</w:t>
      </w:r>
    </w:p>
    <w:p w:rsidR="00AB153A" w:rsidRPr="00BE0E8C" w:rsidRDefault="00AB153A" w:rsidP="00AB153A">
      <w:pPr>
        <w:pStyle w:val="NormalWeb"/>
        <w:numPr>
          <w:ilvl w:val="0"/>
          <w:numId w:val="2"/>
        </w:numPr>
        <w:shd w:val="clear" w:color="auto" w:fill="FFFFFF"/>
        <w:spacing w:before="0" w:beforeAutospacing="0" w:after="0" w:afterAutospacing="0"/>
        <w:jc w:val="both"/>
        <w:rPr>
          <w:color w:val="000000"/>
        </w:rPr>
      </w:pPr>
      <w:r w:rsidRPr="00BE0E8C">
        <w:rPr>
          <w:color w:val="000000"/>
        </w:rPr>
        <w:t>PPIs for Mass Transit Systems (PPI-MTS) shall remain exempted from interoperability while Gift PPI issuers have the option to offer interoperability.</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4. The maximum amount outstanding in respect of full-KYC PPIs (KYC-compliant PPIs) has been increased from ₹1 lakh to ₹2 lakh. All other conditions mentioned under paragraphs 9.1 (ii) and 9.2 of the </w:t>
      </w:r>
      <w:hyperlink r:id="rId30" w:tgtFrame="_blank" w:history="1">
        <w:r w:rsidRPr="00BE0E8C">
          <w:rPr>
            <w:rStyle w:val="Hyperlink"/>
          </w:rPr>
          <w:t>Master Direction on PPIs dated October 11, 2017</w:t>
        </w:r>
      </w:hyperlink>
      <w:r w:rsidRPr="00BE0E8C">
        <w:rPr>
          <w:color w:val="000000"/>
        </w:rPr>
        <w:t> shall continue to be applicable.</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sidRPr="00BE0E8C">
        <w:rPr>
          <w:color w:val="000000"/>
        </w:rPr>
        <w:t>5. The feature of cash withdrawal shall be permitted in respect of full-KYC PPIs issued by non-bank PPI issuers as well. The following conditions shall, however, be applicable –</w:t>
      </w:r>
    </w:p>
    <w:p w:rsidR="00AB153A" w:rsidRPr="00BE0E8C" w:rsidRDefault="00AB153A" w:rsidP="00AB153A">
      <w:pPr>
        <w:pStyle w:val="NormalWeb"/>
        <w:numPr>
          <w:ilvl w:val="0"/>
          <w:numId w:val="3"/>
        </w:numPr>
        <w:shd w:val="clear" w:color="auto" w:fill="FFFFFF"/>
        <w:spacing w:before="0" w:beforeAutospacing="0" w:after="0" w:afterAutospacing="0"/>
        <w:jc w:val="both"/>
        <w:rPr>
          <w:color w:val="000000"/>
        </w:rPr>
      </w:pPr>
      <w:r w:rsidRPr="00BE0E8C">
        <w:rPr>
          <w:color w:val="000000"/>
        </w:rPr>
        <w:t>Maximum limit of ₹2,000 per transaction with an overall limit of ₹10,000 per month per PPI;</w:t>
      </w:r>
    </w:p>
    <w:p w:rsidR="00AB153A" w:rsidRPr="00BE0E8C" w:rsidRDefault="00AB153A" w:rsidP="00AB153A">
      <w:pPr>
        <w:pStyle w:val="NormalWeb"/>
        <w:numPr>
          <w:ilvl w:val="0"/>
          <w:numId w:val="3"/>
        </w:numPr>
        <w:shd w:val="clear" w:color="auto" w:fill="FFFFFF"/>
        <w:spacing w:before="0" w:beforeAutospacing="0" w:after="0" w:afterAutospacing="0"/>
        <w:jc w:val="both"/>
        <w:rPr>
          <w:color w:val="000000"/>
        </w:rPr>
      </w:pPr>
      <w:r w:rsidRPr="00BE0E8C">
        <w:rPr>
          <w:color w:val="000000"/>
        </w:rPr>
        <w:t>All cash withdrawal transactions performed using a card / wallet, shall be authenticated by an Additional Factor of Authentication (AFA) / PIN;</w:t>
      </w:r>
    </w:p>
    <w:p w:rsidR="00AB153A" w:rsidRPr="00BE0E8C" w:rsidRDefault="00AB153A" w:rsidP="00AB153A">
      <w:pPr>
        <w:pStyle w:val="NormalWeb"/>
        <w:numPr>
          <w:ilvl w:val="0"/>
          <w:numId w:val="3"/>
        </w:numPr>
        <w:shd w:val="clear" w:color="auto" w:fill="FFFFFF"/>
        <w:spacing w:before="0" w:beforeAutospacing="0" w:after="0" w:afterAutospacing="0"/>
        <w:jc w:val="both"/>
        <w:rPr>
          <w:color w:val="000000"/>
        </w:rPr>
      </w:pPr>
      <w:r w:rsidRPr="00BE0E8C">
        <w:rPr>
          <w:color w:val="000000"/>
        </w:rPr>
        <w:t>Any PPI issuer offering this facility shall put in place proper customer redressal mechanisms. Complaints in this regard shall fall under the ambit of the respective ombudsmen schemes and instructions on limiting liability of customers; and</w:t>
      </w:r>
    </w:p>
    <w:p w:rsidR="00AB153A" w:rsidRPr="00BE0E8C" w:rsidRDefault="00AB153A" w:rsidP="00AB153A">
      <w:pPr>
        <w:pStyle w:val="NormalWeb"/>
        <w:numPr>
          <w:ilvl w:val="0"/>
          <w:numId w:val="3"/>
        </w:numPr>
        <w:shd w:val="clear" w:color="auto" w:fill="FFFFFF"/>
        <w:spacing w:before="0" w:beforeAutospacing="0" w:after="0" w:afterAutospacing="0"/>
        <w:jc w:val="both"/>
        <w:rPr>
          <w:color w:val="000000"/>
        </w:rPr>
      </w:pPr>
      <w:r w:rsidRPr="00BE0E8C">
        <w:rPr>
          <w:color w:val="000000"/>
        </w:rPr>
        <w:t>PPI issuers shall put in place suitable cooling period for cash withdrawal upon opening the PPIs or loading / re-loading of funds into PPIs to mitigate the risk of fraudulent use of PPIs.</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Pr>
          <w:color w:val="000000"/>
        </w:rPr>
        <w:t>6</w:t>
      </w:r>
      <w:r w:rsidRPr="00BE0E8C">
        <w:rPr>
          <w:color w:val="000000"/>
        </w:rPr>
        <w:t>. The cash withdrawal limit from Points of Sale (PoS) terminals using debit cards and open system prepaid cards issued by banks in India advised vide </w:t>
      </w:r>
      <w:hyperlink r:id="rId31" w:tgtFrame="_blank" w:history="1">
        <w:r w:rsidRPr="00BE0E8C">
          <w:rPr>
            <w:rStyle w:val="Hyperlink"/>
          </w:rPr>
          <w:t>circular DPSS.CO.PD.No.449/02.14.003/2015-16 dated August 27, 2015</w:t>
        </w:r>
      </w:hyperlink>
      <w:r w:rsidRPr="00BE0E8C">
        <w:rPr>
          <w:color w:val="000000"/>
        </w:rPr>
        <w:t> has also been rationalised to ₹2,000 per transaction within an overall monthly limit of ₹10,000 across all locations (Tier 1 to 6 centres). The requirement of submission of data to RBI mentioned at paragraph 6 of the circular has been dispensed with. All other provisions shall, however, continue to be applicable.</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Pr>
          <w:color w:val="000000"/>
        </w:rPr>
        <w:t>7</w:t>
      </w:r>
      <w:r w:rsidRPr="00BE0E8C">
        <w:rPr>
          <w:color w:val="000000"/>
        </w:rPr>
        <w:t>. The </w:t>
      </w:r>
      <w:hyperlink r:id="rId32" w:tgtFrame="_blank" w:history="1">
        <w:r w:rsidRPr="00BE0E8C">
          <w:rPr>
            <w:rStyle w:val="Hyperlink"/>
          </w:rPr>
          <w:t>Master Direction on Issuance and Operation of PPIs dated October 11, 2017</w:t>
        </w:r>
      </w:hyperlink>
      <w:r w:rsidRPr="00BE0E8C">
        <w:rPr>
          <w:color w:val="000000"/>
        </w:rPr>
        <w:t> (as amended from time to time) is being modified to reflect the above.</w:t>
      </w:r>
    </w:p>
    <w:p w:rsidR="00AB153A" w:rsidRDefault="00AB153A" w:rsidP="00AB153A">
      <w:pPr>
        <w:pStyle w:val="NormalWeb"/>
        <w:shd w:val="clear" w:color="auto" w:fill="FFFFFF"/>
        <w:spacing w:before="0" w:beforeAutospacing="0" w:after="0" w:afterAutospacing="0"/>
        <w:jc w:val="both"/>
        <w:rPr>
          <w:color w:val="000000"/>
        </w:rPr>
      </w:pPr>
    </w:p>
    <w:p w:rsidR="00AB153A" w:rsidRPr="00BE0E8C" w:rsidRDefault="00AB153A" w:rsidP="00AB153A">
      <w:pPr>
        <w:pStyle w:val="NormalWeb"/>
        <w:shd w:val="clear" w:color="auto" w:fill="FFFFFF"/>
        <w:spacing w:before="0" w:beforeAutospacing="0" w:after="0" w:afterAutospacing="0"/>
        <w:jc w:val="both"/>
        <w:rPr>
          <w:color w:val="000000"/>
        </w:rPr>
      </w:pPr>
      <w:r>
        <w:rPr>
          <w:color w:val="000000"/>
        </w:rPr>
        <w:t>8</w:t>
      </w:r>
      <w:r w:rsidRPr="00BE0E8C">
        <w:rPr>
          <w:color w:val="000000"/>
        </w:rPr>
        <w:t>. These instructions are issued under Section 18 read with Section 10(2) of the Payment and Settlement Systems Act, 2007.</w:t>
      </w:r>
    </w:p>
    <w:p w:rsidR="00AB153A" w:rsidRDefault="00AB153A" w:rsidP="00AB153A">
      <w:pPr>
        <w:pStyle w:val="NormalWeb"/>
        <w:pBdr>
          <w:bottom w:val="single" w:sz="12" w:space="1" w:color="auto"/>
        </w:pBdr>
        <w:shd w:val="clear" w:color="auto" w:fill="FFFFFF"/>
        <w:spacing w:before="0" w:beforeAutospacing="0" w:after="0" w:afterAutospacing="0"/>
        <w:jc w:val="both"/>
        <w:rPr>
          <w:bCs/>
          <w:color w:val="000000"/>
        </w:rPr>
      </w:pPr>
    </w:p>
    <w:p w:rsidR="00AB153A" w:rsidRDefault="00AB153A" w:rsidP="00AB153A">
      <w:pPr>
        <w:pStyle w:val="NormalWeb"/>
        <w:pBdr>
          <w:bottom w:val="single" w:sz="12" w:space="1" w:color="auto"/>
        </w:pBdr>
        <w:shd w:val="clear" w:color="auto" w:fill="FFFFFF"/>
        <w:spacing w:before="0" w:beforeAutospacing="0" w:after="0" w:afterAutospacing="0"/>
        <w:jc w:val="both"/>
        <w:rPr>
          <w:rStyle w:val="Hyperlink"/>
          <w:bCs/>
        </w:rPr>
      </w:pPr>
      <w:hyperlink r:id="rId33" w:history="1">
        <w:r w:rsidRPr="00BE0E8C">
          <w:rPr>
            <w:rStyle w:val="Hyperlink"/>
            <w:bCs/>
          </w:rPr>
          <w:t>https://www.rbi.org.in/Scripts/NotificationUser.aspx?Id=12094&amp;Mode=0</w:t>
        </w:r>
      </w:hyperlink>
    </w:p>
    <w:p w:rsidR="00AB153A" w:rsidRPr="00BE0E8C" w:rsidRDefault="00AB153A" w:rsidP="00AB153A">
      <w:pPr>
        <w:pStyle w:val="NormalWeb"/>
        <w:pBdr>
          <w:bottom w:val="single" w:sz="12" w:space="1" w:color="auto"/>
        </w:pBdr>
        <w:shd w:val="clear" w:color="auto" w:fill="FFFFFF"/>
        <w:spacing w:before="0" w:beforeAutospacing="0" w:after="0" w:afterAutospacing="0"/>
        <w:jc w:val="both"/>
        <w:rPr>
          <w:bCs/>
          <w:color w:val="000000"/>
        </w:rPr>
      </w:pPr>
    </w:p>
    <w:p w:rsidR="00EB42E1" w:rsidRPr="00BE0E8C" w:rsidRDefault="00EB42E1" w:rsidP="00EB42E1">
      <w:pPr>
        <w:spacing w:after="0" w:line="240" w:lineRule="auto"/>
        <w:jc w:val="both"/>
        <w:rPr>
          <w:rFonts w:ascii="Times New Roman" w:hAnsi="Times New Roman" w:cs="Times New Roman"/>
          <w:b/>
          <w:color w:val="000000"/>
          <w:sz w:val="24"/>
          <w:szCs w:val="24"/>
        </w:rPr>
      </w:pPr>
      <w:r>
        <w:rPr>
          <w:b/>
          <w:bCs/>
          <w:color w:val="000000"/>
        </w:rPr>
        <w:t>10.</w:t>
      </w:r>
      <w:r w:rsidRPr="00EB42E1">
        <w:rPr>
          <w:rFonts w:ascii="Times New Roman" w:hAnsi="Times New Roman" w:cs="Times New Roman"/>
          <w:b/>
          <w:color w:val="000000"/>
          <w:sz w:val="24"/>
          <w:szCs w:val="24"/>
        </w:rPr>
        <w:t xml:space="preserve"> </w:t>
      </w:r>
      <w:r w:rsidRPr="00BE0E8C">
        <w:rPr>
          <w:rFonts w:ascii="Times New Roman" w:hAnsi="Times New Roman" w:cs="Times New Roman"/>
          <w:b/>
          <w:color w:val="000000"/>
          <w:sz w:val="24"/>
          <w:szCs w:val="24"/>
        </w:rPr>
        <w:t>Resolution Framework 2.0 – Resolution of Covid-19 related stress of Micro, Small and Medium Enterprises (MSMEs)</w:t>
      </w:r>
    </w:p>
    <w:p w:rsidR="00EB42E1" w:rsidRPr="00BE0E8C" w:rsidRDefault="00EB42E1" w:rsidP="00EB42E1">
      <w:pPr>
        <w:spacing w:after="0" w:line="240" w:lineRule="auto"/>
        <w:jc w:val="both"/>
        <w:rPr>
          <w:rFonts w:ascii="Times New Roman" w:hAnsi="Times New Roman" w:cs="Times New Roman"/>
          <w:b/>
          <w:color w:val="000000"/>
          <w:sz w:val="24"/>
          <w:szCs w:val="24"/>
        </w:rPr>
      </w:pPr>
    </w:p>
    <w:p w:rsidR="00EB42E1" w:rsidRPr="00BE0E8C" w:rsidRDefault="00EB42E1" w:rsidP="00EB42E1">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RBI/2021-22/32 DOR.STR.REC.12/21.04.048/2021-22</w:t>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t>May 5, 2021</w:t>
      </w:r>
    </w:p>
    <w:p w:rsidR="00EB42E1" w:rsidRPr="00BE0E8C" w:rsidRDefault="00EB42E1" w:rsidP="00EB42E1">
      <w:pPr>
        <w:spacing w:after="0" w:line="240" w:lineRule="auto"/>
        <w:jc w:val="both"/>
        <w:rPr>
          <w:rFonts w:ascii="Times New Roman" w:hAnsi="Times New Roman" w:cs="Times New Roman"/>
          <w:b/>
          <w:color w:val="000000"/>
          <w:sz w:val="24"/>
          <w:szCs w:val="24"/>
        </w:rPr>
      </w:pPr>
    </w:p>
    <w:p w:rsidR="00EB42E1" w:rsidRPr="00BE0E8C" w:rsidRDefault="00EB42E1" w:rsidP="00EB42E1">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i/>
          <w:color w:val="000000"/>
          <w:sz w:val="24"/>
          <w:szCs w:val="24"/>
          <w:shd w:val="clear" w:color="auto" w:fill="FFFFFF"/>
        </w:rPr>
        <w:lastRenderedPageBreak/>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EB42E1" w:rsidRPr="00BE0E8C" w:rsidRDefault="00EB42E1" w:rsidP="00EB42E1">
      <w:pPr>
        <w:spacing w:after="0" w:line="240" w:lineRule="auto"/>
        <w:jc w:val="both"/>
        <w:rPr>
          <w:rFonts w:ascii="Times New Roman" w:hAnsi="Times New Roman" w:cs="Times New Roman"/>
          <w:color w:val="000000"/>
          <w:sz w:val="24"/>
          <w:szCs w:val="24"/>
          <w:shd w:val="clear" w:color="auto" w:fill="FFFFFF"/>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Please refer to the </w:t>
      </w:r>
      <w:hyperlink r:id="rId34" w:tgtFrame="_blank" w:history="1">
        <w:r w:rsidRPr="00BE0E8C">
          <w:rPr>
            <w:rStyle w:val="Hyperlink"/>
          </w:rPr>
          <w:t>circular DOR.No.BP.BC/4/21.04.048/2020-21 dated August 6, 2020</w:t>
        </w:r>
      </w:hyperlink>
      <w:r w:rsidRPr="00BE0E8C">
        <w:rPr>
          <w:color w:val="000000"/>
        </w:rPr>
        <w:t> on restructuring of advances to the MSME borrowers.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 In view of the uncertainties created by the resurgence of the Covid-19 pandemic in India in the recent weeks, it has been decided to extend the above facility for restructuring existing loans without a downgrade in the asset classification subject to the following conditions: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 The borrower should be classified as a micro, small or medium enterprise as on March 31, 2021 in terms of the Gazette Notification S.O. 2119 (E) dated June 26, 2020.</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(ii) The borrowing entity is GST-registered on the date of implementation of the restructuring. However, this condition will not apply to MSMEs that are exempt from GST-registration. This shall be determined on the basis of exemption limit obtaining as on March 31, 2021.</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(iii) The aggregate exposure, including non-fund based facilities, of all lending institutions to the borrower does not exceed ₹25 crore as on March 31, 2021.</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(iv) The borrower’s account was a ‘standard asset’ as on March 31, 2021.</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(v) The borrower’s account was not restructured in terms of the </w:t>
      </w:r>
      <w:hyperlink r:id="rId35" w:tgtFrame="_blank" w:history="1">
        <w:r w:rsidRPr="00BE0E8C">
          <w:rPr>
            <w:rStyle w:val="Hyperlink"/>
          </w:rPr>
          <w:t>circulars DOR.No.BP.BC/4/21.04.048/2020-21 dated August 6, 2020</w:t>
        </w:r>
      </w:hyperlink>
      <w:r w:rsidRPr="00BE0E8C">
        <w:rPr>
          <w:color w:val="000000"/>
        </w:rPr>
        <w:t>; </w:t>
      </w:r>
      <w:hyperlink r:id="rId36" w:tgtFrame="_blank" w:history="1">
        <w:r w:rsidRPr="00BE0E8C">
          <w:rPr>
            <w:rStyle w:val="Hyperlink"/>
          </w:rPr>
          <w:t>DOR.No.BP.BC.34/21.04.048/2019-20 dated February 11, 2020</w:t>
        </w:r>
      </w:hyperlink>
      <w:r w:rsidRPr="00BE0E8C">
        <w:rPr>
          <w:color w:val="000000"/>
        </w:rPr>
        <w:t>; or </w:t>
      </w:r>
      <w:hyperlink r:id="rId37" w:tgtFrame="_blank" w:history="1">
        <w:r w:rsidRPr="00BE0E8C">
          <w:rPr>
            <w:rStyle w:val="Hyperlink"/>
          </w:rPr>
          <w:t>DBR.No.BP.BC.18/21.04.048/2018-19 dated January 1, 2019</w:t>
        </w:r>
      </w:hyperlink>
      <w:r w:rsidRPr="00BE0E8C">
        <w:rPr>
          <w:color w:val="000000"/>
        </w:rPr>
        <w:t> (collectively referred to as MSME restructuring circulars).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(vi) The restructuring of the borrower account is invoked by September 30, 2021. For this purpose, the restructuring shall be treated as invoked when the lending institution and the borrower agree to proceed with the efforts towards finalising a restructuring plan to be implemented in respect of such borrower. The decisions on applications received by the lending institutions from their customers for invoking restructuring under this facility shall be communicated in writing to the applicant by the lending institutions within 30 days of receipt of such applications. The decision to invoke the restructuring under this facility shall be taken by each lending institution having exposure to a borrower independent of invocation decisions taken by other lending institutions, if any, having exposure to the same borrower.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(vii) The restructuring of the borrower account is implemented within 90 days from the date of invocation.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(viii) If the borrower is not registered in the Udyam Registration portal, such registration shall be required to be completed before the date of implementation of the restructuring plan for the plan to be treated as implemented.</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(ix) Upon implementation of the restructuring plan, the lending institutions shall keep provision of 10 percent of the residual debt of the borrower.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(x) It is reiterated that lending institutions shall put in place a Board approved policy on restructuring of MSME advances under these instructions at the earliest, and in any case not later than a month from the date of this circular.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(xi) All other instructions specified in the </w:t>
      </w:r>
      <w:hyperlink r:id="rId38" w:tgtFrame="_blank" w:history="1">
        <w:r w:rsidRPr="00BE0E8C">
          <w:rPr>
            <w:rStyle w:val="Hyperlink"/>
          </w:rPr>
          <w:t>circular DOR.No.BP.BC/4/21.04.048/2020-21 dated August 6, 2020</w:t>
        </w:r>
      </w:hyperlink>
      <w:r w:rsidRPr="00BE0E8C">
        <w:rPr>
          <w:color w:val="000000"/>
        </w:rPr>
        <w:t> shall remain applicable.</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3. In respect of restructuring plans implemented as per Clause 2 above, asset classification of borrowers classified as standard may be retained as such, whereas the accounts which may have slipped into NPA category between April 1, 2021 and date of implementation may be upgraded as ‘standard asset’, as on the date of implementation of the restructuring plan.</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4. In respect of accounts of borrowers which were restructured in terms of the MSME restructuring circulars,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The reassessed sanctioned limit / drawing power shall be subject to review by the lending institution at least on a half yearly basis and the renewal / reassessment at least on an annual basis. The annual renewal/reassessment shall be expected to suitably modulate the limits as per the then-prevailing business conditions.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pBdr>
          <w:bottom w:val="single" w:sz="12" w:space="1" w:color="auto"/>
        </w:pBdr>
        <w:shd w:val="clear" w:color="auto" w:fill="FFFFFF"/>
        <w:spacing w:before="0" w:beforeAutospacing="0" w:after="0" w:afterAutospacing="0"/>
        <w:jc w:val="both"/>
        <w:rPr>
          <w:color w:val="000000"/>
        </w:rPr>
      </w:pPr>
      <w:hyperlink r:id="rId39" w:history="1">
        <w:r w:rsidRPr="00BE0E8C">
          <w:rPr>
            <w:rStyle w:val="Hyperlink"/>
          </w:rPr>
          <w:t>https://www.rbi.org.in/Scripts/NotificationUser.aspx?Id=12086&amp;Mode=0</w:t>
        </w:r>
      </w:hyperlink>
      <w:r w:rsidRPr="00BE0E8C">
        <w:rPr>
          <w:color w:val="000000"/>
        </w:rPr>
        <w:t xml:space="preserve"> </w:t>
      </w:r>
    </w:p>
    <w:p w:rsidR="00EB42E1" w:rsidRPr="00BE0E8C" w:rsidRDefault="00EB42E1" w:rsidP="00EB42E1">
      <w:pPr>
        <w:pStyle w:val="NormalWeb"/>
        <w:shd w:val="clear" w:color="auto" w:fill="FFFFFF"/>
        <w:spacing w:before="0" w:beforeAutospacing="0" w:after="0" w:afterAutospacing="0"/>
        <w:jc w:val="both"/>
        <w:rPr>
          <w:b/>
          <w:color w:val="000000"/>
        </w:rPr>
      </w:pPr>
      <w:r>
        <w:rPr>
          <w:color w:val="000000"/>
        </w:rPr>
        <w:t>11.</w:t>
      </w:r>
      <w:r w:rsidRPr="00EB42E1">
        <w:rPr>
          <w:b/>
          <w:color w:val="000000"/>
        </w:rPr>
        <w:t xml:space="preserve"> </w:t>
      </w:r>
      <w:r w:rsidRPr="00BE0E8C">
        <w:rPr>
          <w:b/>
          <w:color w:val="000000"/>
        </w:rPr>
        <w:t>Resolution Framework – 2.0: Resolution of Covid-19 related stress of Individuals and Small Businesses</w:t>
      </w:r>
    </w:p>
    <w:p w:rsidR="00EB42E1" w:rsidRPr="00BE0E8C" w:rsidRDefault="00EB42E1" w:rsidP="00EB42E1">
      <w:pPr>
        <w:pStyle w:val="NormalWeb"/>
        <w:shd w:val="clear" w:color="auto" w:fill="FFFFFF"/>
        <w:spacing w:before="0" w:beforeAutospacing="0" w:after="0" w:afterAutospacing="0"/>
        <w:jc w:val="both"/>
        <w:rPr>
          <w:b/>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RBI/2021-22/31 DOR.STR.REC.11/21.04.048/2021-22</w:t>
      </w:r>
      <w:r w:rsidRPr="00BE0E8C">
        <w:rPr>
          <w:b/>
          <w:color w:val="000000"/>
        </w:rPr>
        <w:tab/>
      </w:r>
      <w:r w:rsidRPr="00BE0E8C">
        <w:rPr>
          <w:b/>
          <w:color w:val="000000"/>
        </w:rPr>
        <w:tab/>
      </w:r>
      <w:r w:rsidRPr="00BE0E8C">
        <w:rPr>
          <w:b/>
          <w:color w:val="000000"/>
        </w:rPr>
        <w:tab/>
        <w:t>May 5, 2021</w:t>
      </w:r>
    </w:p>
    <w:p w:rsidR="00EB42E1" w:rsidRPr="00BE0E8C" w:rsidRDefault="00EB42E1" w:rsidP="00EB42E1">
      <w:pPr>
        <w:pStyle w:val="NormalWeb"/>
        <w:shd w:val="clear" w:color="auto" w:fill="FFFFFF"/>
        <w:spacing w:before="0" w:beforeAutospacing="0" w:after="0" w:afterAutospacing="0"/>
        <w:jc w:val="both"/>
        <w:rPr>
          <w:i/>
          <w:color w:val="000000"/>
          <w:shd w:val="clear" w:color="auto" w:fill="FFFFFF"/>
        </w:rPr>
      </w:pPr>
    </w:p>
    <w:p w:rsidR="00EB42E1" w:rsidRPr="00BE0E8C" w:rsidRDefault="00EB42E1" w:rsidP="00EB42E1">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The Reserve Bank of India vide its circular DOR.No.BP.BC/3/21.04.048/2020-21 dated August 6, 2020 on “Resolution Framework for COVID-19-related Stress” (“Resolution Framework – 1.0”) had provided a window to enable lenders to implement a resolution plan in respect of eligible corporate exposures without change in ownership, and personal loans, while classifying such exposures as Standard, subject to specified conditions.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 The resurgence of Covid-19 pandemic in India in the recent weeks and the consequent containment measures to check the spread of the pandemic may impact the recovery process and create new uncertainties. With the objective of alleviating the potential stress to individual borrowers and small businesses, the following set of measures are being announced. These set of measures are broadly in line with the contours of the Resolution Framework - 1.0, with suitable modifications.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 xml:space="preserve">3. Part A of this circular pertains to requirements specific to resolution of advances to individuals and small businesses and Part B pertains to working capital support for: (i) individuals who have availed of loans for business purposes, and (ii) small businesses, where resolution plans were </w:t>
      </w:r>
      <w:r w:rsidRPr="00BE0E8C">
        <w:rPr>
          <w:color w:val="000000"/>
        </w:rPr>
        <w:lastRenderedPageBreak/>
        <w:t>implemented previously. Part C lists the disclosure requirements for the lending institutions with respect to the resolution plans implemented under this window.</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A. Resolution of advances to individuals and small businesses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4. Lending institutions are permitted to offer a limited window to individual borrowers and small businesses to implement resolution plans in respect of their credit exposures while classifying the same as Standard upon implementation of the resolution plan subject to the conditions specified hereafter.</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 The following borrowers shall be eligible for the window of resolution to be invoked by the lending institutions: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Individuals who have availed of personal loans (as defined in the Circular DBR.No.BP.BC.99/08.13.100/2017-18 dated January 4, 2018 on “XBRL Returns – Harmonization of Banking Statistics”), excluding the credit facilities provided by lending institutions to their own personnel/staff.</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Individuals who have availed of loans and advances for business purposes and to whom the lending institutions have aggregate exposure of not more than Rs.25 crore as on March 31,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Small businesses, including those engaged in retail and wholesale trade, other than those classified as micro, small and medium enterprises as on March 31, 2021, and to whom the lending institutions have aggregate exposure of not more than Rs.25 crore as on March 31,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Provided that the borrower accounts / credit facilities shall not belong to the categories listed in sub-clauses (a) to (e) of the Clause 2 of the Annex to the Resolution Framework 1.0, read with the response to Sl. No. 2 of FAQs on Resolution Framework for Covid-19 related stress (Revised on December 12, 2020).</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Provided further that the borrower accounts should not have availed of any resolution in terms of the Resolution Framework – 1.0 subject to the special exemption mentioned at Clause 22 below.</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Provided further that the credit facilities / investment exposure to the borrower was classified as Standard by the lending institution as on March 31,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6. Any resolution plan implemented in breach of the stipulations of this circular shall be fully governed by the Prudential Framework for Resolution of Stressed Assets issued on June 7, 2019 (“Prudential Framework”), or the relevant instructions as applicable to specific category of lending institutions where the Prudential Framework is not applicable.</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Invocation of resolution process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 xml:space="preserve">7. The lending institutions shall frame Board approved policies at the earliest (but not later than four weeks from the date of this Circular), pertaining to implementation of viable resolution plans for eligible borrowers under this framework, ensuring that the resolution under this facility is </w:t>
      </w:r>
      <w:r w:rsidRPr="00BE0E8C">
        <w:rPr>
          <w:color w:val="000000"/>
        </w:rPr>
        <w:lastRenderedPageBreak/>
        <w:t>provided only to the borrowers having stress on account of Covid-19. The Board approved policy shall, inter alia, detail the eligibility of borrowers in respect of whom the lending institutions shall be willing to consider the resolution, and shall lay down the due diligence considerations to be followed by the lending institutions to establish the necessity of implementing a resolution plan in respect of the concerned borrower as well as the system for redressing the grievance of borrowers who request for resolution under the window and / or are undergoing resolution under this window. The Board approved policy shall be sufficiently publicised and should be available on the website of the lending institutions in an easily accessible manner.</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 The resolution process under this window shall be treated as invoked when the lending institution and the borrower agree to proceed with the efforts towards finalising a resolution plan to be implemented in respect of such borrower. In respect of applications received by the lending institutions from their customers for invoking resolution process under this window, the assessment of eligibility for resolution as per the instructions contained in this circular and the Board approved policy put in place as above shall be completed, and the decision on the application shall be communicated in writing to the applicant by the lending institutions within 30 days of receipt of such applications. In order to optimise the processing time, lending institutions may prepare product-level standardized templates as part of their Board approved policies, as above, for resolution under this window.</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9. The decision to invoke the resolution process under this window shall be taken by each lending institution having exposure to a borrower independent of invocation decisions taken by other lending institutions, if any, having exposure to the same borrower.</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10. The last date for invocation of resolution permitted under this window is September 30,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Permitted features of resolution plans and implementation</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11. The resolution plans implemented under this window may inter alia include rescheduling of payments, conversion of any interest accrued or to be accrued into another credit facility, revisions in working capital sanctions, granting of moratorium etc. based on an assessment of income streams of the borrower. However, compromise settlements are not permitted as a resolution plan for this purpose.</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12. The moratorium period, if granted, may be for a maximum of two years, and shall come into force immediately upon implementation of the resolution plan. The extension of the residual tenor of the loan facilities may also be granted to borrowers, with or without payment moratorium. The overall cap on extension of residual tenor, inclusive of moratorium period if any permitted, shall be two years.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 The resolution plan may also provide for conversion of a portion of the debt into equity or other marketable, non-convertible debt securities issued by the borrower, wherever applicable, and the same shall be governed in terms of Paragraphs 30-32 of the Annex to the Resolution Framework – 1.0.</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14. The instructions contained in the circular DOR.No.BP.BC/13/21.04.048/2020-21 dated September 7, 2020 on “Resolution Framework for COVID-19-related Stress – Financial Parameters” shall not be applicable to resolution plans implemented under this window.</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15. The resolution plan should be finalised and implemented within 90 days from the date of invocation of the resolution process under this window. The resolution plan shall be deemed to be implemented only if all the conditions in Paragraph 10 of the Annex to the Resolution Framework – 1.0 are met.</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Asset classification and provisioning</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16. If a resolution plan is implemented in adherence to the provisions of this circular, the asset classification of borrowers’ accounts classified as Standard may be retained as such upon implementation, whereas the borrowers’ accounts which may have slipped into NPA between invocation and implementation may be upgraded as Standard, as on the date of implementation of the resolution plan.</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17. The subsequent asset classification for such exposures will be governed by the criteria laid out in the Master Circular - Prudential norms on Income Recognition, Asset Classification and Provisioning pertaining to Advances dated July 1, 2015 or other relevant instructions as applicable to specific category of lending institutions (“extant IRAC norms”).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18. In respect of borrowers where the resolution process has been invoked, lending institutions are permitted to sanction additional finance even before implementation of the plan in order to meet the interim liquidity requirements of the borrower. This facility of additional finance may be classified as ‘Standard’ till implementation of the plan regardless of the actual performance of the borrower in the interim. However, if the resolution plan is not implemented within the stipulated timelines, the asset classification of the additional finance sanctioned will be as per the actual performance of the borrower with respect to such additional finance or performance of the rest of the credit facilities, whichever is worse.</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19. The lending institutions shall keep provisions from the date of implementation, which are higher of the provisions held as per the extant IRAC norms immediately before implementation, or 10 percent of the renegotiated debt exposure of the lending institution post implementation (residual debt). Residual debt, for this purpose, will also include the portion of non-fund based facilities that may have devolved into fund based facilities after the date of implementation.</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20. Half of the above provisions may be written back upon the borrower paying at least 20 per cent of the residual debt without slipping into NPA post implementation of the plan, and the remaining half may be written back upon the borrower paying another 10 per cent of the residual debt without slipping into NPA subsequently.</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Provided that in respect of exposures other than personal loans, the above provisions shall not be written back before one year from the commencement of the first payment of interest or principal (whichever is later) on the credit facility with longest period of moratorium.</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21. The provisions required to be maintained under this window, to the extent not already reversed, shall be available for the provisioning requirements when any of the accounts, where a resolution plan had been implemented, is subsequently classified as NPA.</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Convergence of the norms for loans resolved previously</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22. In cases of loans of borrowers specified in Clause 5 above where resolution plans had been implemented in terms of the Resolution Framework – 1.0, and where the resolution plans had permitted no moratoria or moratoria of less than two years and / or extension of residual tenor by a period of less than two years, lending institutions are permitted to use this window to modify such plans only to the extent of increasing the period of moratorium / extension of residual tenor subject to the caps in Clause 12 above, and the consequent changes necessary in the terms of the loan for implementing such extension. The overall caps on moratorium and / or extension of residual tenor granted under Resolution Framework – 1.0 and this framework combined, shall be two years.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23. This modification shall also follow the timelines specified in Clauses 7, 10 and 15 above. For loans where modifications are implemented in line with Clause 22 above, the instructions regarding asset classification and provisioning shall continue to be as per the Resolution Framework – 1.0.</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B. Working capital support for small businesses where resolution plans were implemented previously</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24. In respect of borrowers specified at sub-clauses (b) and (c) of Clause 5 above where resolution plans had been implemented in terms of the Resolution Framework – 1.0,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with the margins and working capital limits being restored to the levels as per the resolution plan implemented under Resolution Framework – 1.0, by March 31, 2022.</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26. Lending institutions may, accordingly, put in place a Board approved policy to implement the above measures, which should be disclosed in the public domain and placed on their websites in a prominent and easily accessible manner.</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C. Disclosures and Credit Reporting</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 xml:space="preserve">27. Lending institutions publishing quarterly financial statements shall, at the minimum, make disclosures as per the format prescribed in Format-X in their financial statements for the quarters </w:t>
      </w:r>
      <w:r w:rsidRPr="00BE0E8C">
        <w:rPr>
          <w:color w:val="000000"/>
        </w:rPr>
        <w:lastRenderedPageBreak/>
        <w:t>ending September 30, 2021 and December 31, 2021. The resolution plans implemented in terms of Part A of this framework should also be included in the continuous disclosures required as per Format-B prescribed in the Resolution Framework – 1.0.</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28. The number of borrower accounts where modifications were sanctioned and implemented in terms of Clause 22 above, and the aggregate exposure of the lending institution to such borrowers may also be disclosed on a quarterly basis, starting from the quarter ending June 30,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29. Lending institutions that are required to publish only annual financial statements shall make the required disclosures in their annual financial statements, along with other prescribed disclosures.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30. The credit reporting by the lending institutions in respect of borrowers where the resolution plan is implemented under Part A of this window shall reflect the “restructured due to COVID-19” status1 of the account. The credit history of the borrowers shall consequently be governed by the respective policies of the credit information companies as applicable to accounts that are restructured.</w:t>
      </w:r>
    </w:p>
    <w:p w:rsidR="00EB42E1" w:rsidRPr="00BE0E8C" w:rsidRDefault="00EB42E1" w:rsidP="00EB42E1">
      <w:pPr>
        <w:spacing w:after="0" w:line="240" w:lineRule="auto"/>
        <w:jc w:val="both"/>
        <w:rPr>
          <w:rFonts w:ascii="Times New Roman" w:hAnsi="Times New Roman" w:cs="Times New Roman"/>
          <w:color w:val="000000"/>
          <w:sz w:val="24"/>
          <w:szCs w:val="24"/>
        </w:rPr>
      </w:pPr>
    </w:p>
    <w:p w:rsidR="00EB42E1" w:rsidRPr="00BE0E8C" w:rsidRDefault="00EB42E1" w:rsidP="00EB42E1">
      <w:pPr>
        <w:pBdr>
          <w:bottom w:val="single" w:sz="12" w:space="1" w:color="auto"/>
        </w:pBdr>
        <w:spacing w:after="0" w:line="240" w:lineRule="auto"/>
        <w:jc w:val="both"/>
        <w:rPr>
          <w:rFonts w:ascii="Times New Roman" w:hAnsi="Times New Roman" w:cs="Times New Roman"/>
          <w:color w:val="000000"/>
          <w:sz w:val="24"/>
          <w:szCs w:val="24"/>
        </w:rPr>
      </w:pPr>
      <w:hyperlink r:id="rId40" w:history="1">
        <w:r w:rsidRPr="00BE0E8C">
          <w:rPr>
            <w:rStyle w:val="Hyperlink"/>
            <w:rFonts w:ascii="Times New Roman" w:hAnsi="Times New Roman" w:cs="Times New Roman"/>
            <w:sz w:val="24"/>
            <w:szCs w:val="24"/>
          </w:rPr>
          <w:t>https://www.rbi.org.in/Scripts/NotificationUser.aspx?Id=12085&amp;Mode=0</w:t>
        </w:r>
      </w:hyperlink>
      <w:r w:rsidRPr="00BE0E8C">
        <w:rPr>
          <w:rFonts w:ascii="Times New Roman" w:hAnsi="Times New Roman" w:cs="Times New Roman"/>
          <w:color w:val="000000"/>
          <w:sz w:val="24"/>
          <w:szCs w:val="24"/>
        </w:rPr>
        <w:t xml:space="preserve"> </w:t>
      </w:r>
    </w:p>
    <w:p w:rsidR="00EB42E1" w:rsidRPr="00BE0E8C" w:rsidRDefault="00EB42E1" w:rsidP="00EB42E1">
      <w:pPr>
        <w:spacing w:after="0" w:line="240" w:lineRule="auto"/>
        <w:jc w:val="both"/>
        <w:rPr>
          <w:rFonts w:ascii="Times New Roman" w:hAnsi="Times New Roman" w:cs="Times New Roman"/>
          <w:color w:val="000000"/>
          <w:sz w:val="24"/>
          <w:szCs w:val="24"/>
        </w:rPr>
      </w:pPr>
    </w:p>
    <w:p w:rsidR="00EB42E1" w:rsidRPr="00BE0E8C" w:rsidRDefault="00EB42E1" w:rsidP="00EB42E1">
      <w:pPr>
        <w:pStyle w:val="NormalWeb"/>
        <w:shd w:val="clear" w:color="auto" w:fill="FFFFFF"/>
        <w:spacing w:before="0" w:beforeAutospacing="0" w:after="0" w:afterAutospacing="0"/>
        <w:jc w:val="both"/>
        <w:rPr>
          <w:b/>
          <w:bCs/>
          <w:color w:val="000000"/>
        </w:rPr>
      </w:pPr>
      <w:r>
        <w:rPr>
          <w:color w:val="000000"/>
        </w:rPr>
        <w:t>12.</w:t>
      </w:r>
      <w:r w:rsidRPr="00EB42E1">
        <w:rPr>
          <w:b/>
          <w:bCs/>
          <w:color w:val="000000"/>
        </w:rPr>
        <w:t xml:space="preserve"> </w:t>
      </w:r>
      <w:r w:rsidRPr="00BE0E8C">
        <w:rPr>
          <w:b/>
          <w:bCs/>
          <w:color w:val="000000"/>
        </w:rPr>
        <w:t>Credit to MSME Entrepreneurs</w:t>
      </w:r>
    </w:p>
    <w:p w:rsidR="00EB42E1" w:rsidRPr="00BE0E8C" w:rsidRDefault="00EB42E1" w:rsidP="00EB42E1">
      <w:pPr>
        <w:pStyle w:val="NormalWeb"/>
        <w:shd w:val="clear" w:color="auto" w:fill="FFFFFF"/>
        <w:spacing w:before="0" w:beforeAutospacing="0" w:after="0" w:afterAutospacing="0"/>
        <w:jc w:val="both"/>
        <w:rPr>
          <w:b/>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 xml:space="preserve">RBI/2020-21/92 DOR.No.Ret.BC.37/12.01.001/2020-21 </w:t>
      </w:r>
      <w:r w:rsidRPr="00BE0E8C">
        <w:rPr>
          <w:b/>
          <w:color w:val="000000"/>
        </w:rPr>
        <w:tab/>
      </w:r>
      <w:r w:rsidRPr="00BE0E8C">
        <w:rPr>
          <w:b/>
          <w:color w:val="000000"/>
        </w:rPr>
        <w:tab/>
        <w:t>February 05,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EB42E1" w:rsidRPr="00BE0E8C" w:rsidRDefault="00EB42E1" w:rsidP="00EB42E1">
      <w:pPr>
        <w:pStyle w:val="NormalWeb"/>
        <w:shd w:val="clear" w:color="auto" w:fill="FFFFFF"/>
        <w:spacing w:before="0" w:beforeAutospacing="0" w:after="0" w:afterAutospacing="0"/>
        <w:jc w:val="both"/>
        <w:rPr>
          <w:i/>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In terms of paragraph 5 of the </w:t>
      </w:r>
      <w:hyperlink r:id="rId41" w:tgtFrame="_blank" w:history="1">
        <w:r w:rsidRPr="00BE0E8C">
          <w:rPr>
            <w:rStyle w:val="Hyperlink"/>
          </w:rPr>
          <w:t>Statement on Developmental and Regulatory Policies of February 5, 2021</w:t>
        </w:r>
      </w:hyperlink>
      <w:r w:rsidRPr="00BE0E8C">
        <w:rPr>
          <w:color w:val="000000"/>
        </w:rPr>
        <w:t>, Scheduled Commercial Banks will be allowed to deduct the amount equivalent to credit disbursed to ‘New MSME borrowers’ from their Net Demand and Time Liabilities (NDTL) for calculation of the Cash Reserve Ratio (CRR). For the purpose of this exemption, ‘New MSME borrowers’ shall be defined as those MSME borrowers who have not availed any credit facilities from the banking system as on January 1, 2021. This exemption will be available only up to ₹25 lakh per borrower disbursed up to the fortnight ending October 1, 2021, for a period of one year from the date of origination of the loan or the tenure of the loan, whichever is earlier.</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 Banks are required to report the exemption availed at the end of a fortnight, in Annex A to Form A as per </w:t>
      </w:r>
      <w:hyperlink r:id="rId42" w:tgtFrame="_blank" w:history="1">
        <w:r w:rsidRPr="00BE0E8C">
          <w:rPr>
            <w:rStyle w:val="Hyperlink"/>
          </w:rPr>
          <w:t>Master Circular on Cash Reserve Ratio (CRR) and Statutory Liquidity Ratio (SLR) dated July 1, 2015</w:t>
        </w:r>
      </w:hyperlink>
      <w:r w:rsidRPr="00BE0E8C">
        <w:rPr>
          <w:color w:val="000000"/>
        </w:rPr>
        <w:t>, under the item “Any other liabilities coming under the purview of zero prescription” at VIII.1. Proper fortnightly records of credit disbursed to new MSME borrowers/CRR exemption claimed, duly certified by the Chief Financial Officer (CFO) or an equivalent level officer, must be maintained by banks for supervisory review.</w:t>
      </w:r>
    </w:p>
    <w:p w:rsidR="00EB42E1" w:rsidRPr="00BE0E8C" w:rsidRDefault="00EB42E1" w:rsidP="00EB42E1">
      <w:pPr>
        <w:pStyle w:val="NormalWeb"/>
        <w:pBdr>
          <w:bottom w:val="single" w:sz="12" w:space="1" w:color="auto"/>
        </w:pBdr>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Pr>
          <w:b/>
          <w:color w:val="000000"/>
        </w:rPr>
        <w:t>13.</w:t>
      </w:r>
      <w:r w:rsidRPr="00EB42E1">
        <w:rPr>
          <w:b/>
          <w:color w:val="000000"/>
        </w:rPr>
        <w:t xml:space="preserve"> </w:t>
      </w:r>
      <w:r w:rsidRPr="00BE0E8C">
        <w:rPr>
          <w:b/>
          <w:color w:val="000000"/>
        </w:rPr>
        <w:t>Periodic Updation of KYC – Restrictions on Account Operations for Non-compliance</w:t>
      </w:r>
    </w:p>
    <w:p w:rsidR="00EB42E1" w:rsidRPr="00BE0E8C" w:rsidRDefault="00EB42E1" w:rsidP="00EB42E1">
      <w:pPr>
        <w:pStyle w:val="NormalWeb"/>
        <w:shd w:val="clear" w:color="auto" w:fill="FFFFFF"/>
        <w:spacing w:before="0" w:beforeAutospacing="0" w:after="0" w:afterAutospacing="0"/>
        <w:jc w:val="both"/>
        <w:rPr>
          <w:b/>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EB42E1" w:rsidRPr="00BE0E8C" w:rsidRDefault="00EB42E1" w:rsidP="00EB42E1">
      <w:pPr>
        <w:pStyle w:val="NormalWeb"/>
        <w:shd w:val="clear" w:color="auto" w:fill="FFFFFF"/>
        <w:spacing w:before="0" w:beforeAutospacing="0" w:after="0" w:afterAutospacing="0"/>
        <w:jc w:val="both"/>
        <w:rPr>
          <w:b/>
          <w:color w:val="000000"/>
        </w:rPr>
      </w:pPr>
    </w:p>
    <w:p w:rsidR="00EB42E1" w:rsidRPr="00BE0E8C" w:rsidRDefault="00EB42E1" w:rsidP="00EB42E1">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lastRenderedPageBreak/>
        <w:t>The Chairpersons/ CEOs of all the Regulated Entities</w:t>
      </w:r>
    </w:p>
    <w:p w:rsidR="00EB42E1" w:rsidRPr="00BE0E8C" w:rsidRDefault="00EB42E1" w:rsidP="00EB42E1">
      <w:pPr>
        <w:pStyle w:val="NormalWeb"/>
        <w:shd w:val="clear" w:color="auto" w:fill="FFFFFF"/>
        <w:spacing w:before="0" w:beforeAutospacing="0" w:after="0" w:afterAutospacing="0"/>
        <w:jc w:val="both"/>
        <w:rPr>
          <w:i/>
          <w:color w:val="000000"/>
          <w:shd w:val="clear" w:color="auto" w:fill="FFFFFF"/>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Please refer to Section 38 of the Master Direction on KYC dated February 25, 2016, in terms of which Regulated Entities (REs) have to carry out periodic updation of KYC of existing customers. Keeping in view the current COVID-19 related restrictions in various parts of the country, REs are advised that in respect of the customer accounts where periodic updation of KYC is due and pending as on date, no restrictions on operations of such account shall be imposed till December 31, 2021, for this reason alone, unless warranted under instructions of any regulator/ enforcement agency/court of law, etc.</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EB42E1" w:rsidRPr="00BE0E8C" w:rsidRDefault="00EB42E1" w:rsidP="00EB42E1">
      <w:pPr>
        <w:pStyle w:val="NormalWeb"/>
        <w:pBdr>
          <w:bottom w:val="single" w:sz="12" w:space="1" w:color="auto"/>
        </w:pBdr>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Pr>
          <w:b/>
          <w:color w:val="000000"/>
        </w:rPr>
        <w:t>14.</w:t>
      </w:r>
      <w:r w:rsidRPr="00EB42E1">
        <w:rPr>
          <w:b/>
          <w:bCs/>
          <w:color w:val="000000"/>
        </w:rPr>
        <w:t xml:space="preserve"> </w:t>
      </w:r>
      <w:r w:rsidRPr="00BE0E8C">
        <w:rPr>
          <w:b/>
          <w:bCs/>
          <w:color w:val="000000"/>
        </w:rPr>
        <w:t>Priority Sector Lending (PSL) - On-lending by Small Finance Banks (SFBs) to NBFC-MFIs</w:t>
      </w:r>
    </w:p>
    <w:p w:rsidR="00EB42E1" w:rsidRPr="00BE0E8C" w:rsidRDefault="00EB42E1" w:rsidP="00EB42E1">
      <w:pPr>
        <w:pStyle w:val="NormalWeb"/>
        <w:shd w:val="clear" w:color="auto" w:fill="FFFFFF"/>
        <w:spacing w:before="0" w:beforeAutospacing="0" w:after="0" w:afterAutospacing="0"/>
        <w:jc w:val="both"/>
        <w:rPr>
          <w:b/>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 xml:space="preserve">RBI/2021-22/27 FIDD.CO.Plan.BC.No.10/04.09.01/2021-22 </w:t>
      </w:r>
      <w:r w:rsidRPr="00BE0E8C">
        <w:rPr>
          <w:b/>
          <w:color w:val="000000"/>
        </w:rPr>
        <w:tab/>
      </w:r>
      <w:r w:rsidRPr="00BE0E8C">
        <w:rPr>
          <w:b/>
          <w:color w:val="000000"/>
        </w:rPr>
        <w:tab/>
        <w:t>May 5, 2021</w:t>
      </w:r>
    </w:p>
    <w:p w:rsidR="00EB42E1" w:rsidRPr="00BE0E8C" w:rsidRDefault="00EB42E1" w:rsidP="00EB42E1">
      <w:pPr>
        <w:pStyle w:val="NormalWeb"/>
        <w:shd w:val="clear" w:color="auto" w:fill="FFFFFF"/>
        <w:spacing w:before="0" w:beforeAutospacing="0" w:after="0" w:afterAutospacing="0"/>
        <w:jc w:val="both"/>
        <w:rPr>
          <w:i/>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i/>
          <w:color w:val="000000"/>
        </w:rPr>
        <w:t>The Chairman/ Managing Director, Chief Executive Officer, Small Finance Banks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As per extant guidelines, lending by Small Finance Banks (SFBs) to Micro-Finance Institutions (MFIs) for on-lending is not reckoned for priority sector lending (PSL) classification. In view of the fresh challenges brought on by the COVID-19 pandemic and to address the emergent liquidity position of smaller MFIs, it has been decided to allow PSL classification to the fresh credit extended by SFBs to registered NBFC-MFIs and other MFIs (Societies, Trusts etc.) which are members of RBI recognised ‘Self-Regulatory Organisation’ of the sector and which have a ‘gross loan portfolio’ of upto ₹500 crore as on 31 March 2021, for the purpose of on-lending to individuals. Bank credit as above will be permitted up to 10% of the bank’s total priority sector portfolio as on 31 March,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 The above dispensation shall be valid upto March 31, 2022. However, loans thus disbursed will continue to be classified under Priority Sector till the date of repayment/maturity whichever is earlier. Further, banks will be required to adhere to the conditions prescribed for on-lending under para 21 of our Master Directions on PSL dated September 4, 2020 (updated as on April 29,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3. The guidelines shall come into effect from the date of the issuance of this circular.</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Default="00EB42E1" w:rsidP="00EB42E1">
      <w:pPr>
        <w:pStyle w:val="NormalWeb"/>
        <w:pBdr>
          <w:bottom w:val="single" w:sz="6" w:space="1" w:color="auto"/>
        </w:pBdr>
        <w:shd w:val="clear" w:color="auto" w:fill="FFFFFF"/>
        <w:spacing w:before="0" w:beforeAutospacing="0" w:after="0" w:afterAutospacing="0"/>
        <w:jc w:val="both"/>
        <w:rPr>
          <w:rStyle w:val="Hyperlink"/>
        </w:rPr>
      </w:pPr>
      <w:hyperlink r:id="rId43" w:history="1">
        <w:r w:rsidRPr="00BE0E8C">
          <w:rPr>
            <w:rStyle w:val="Hyperlink"/>
          </w:rPr>
          <w:t>https://www.rbi.org.in/Scripts/NotificationUser.aspx?Id=12081&amp;Mode=0</w:t>
        </w:r>
      </w:hyperlink>
    </w:p>
    <w:p w:rsidR="00EB42E1" w:rsidRPr="00BE0E8C" w:rsidRDefault="00EB42E1" w:rsidP="00EB42E1">
      <w:pPr>
        <w:pStyle w:val="NormalWeb"/>
        <w:shd w:val="clear" w:color="auto" w:fill="FFFFFF"/>
        <w:spacing w:before="0" w:beforeAutospacing="0" w:after="0" w:afterAutospacing="0"/>
        <w:jc w:val="both"/>
        <w:rPr>
          <w:b/>
          <w:bCs/>
          <w:color w:val="000000"/>
        </w:rPr>
      </w:pPr>
      <w:r>
        <w:rPr>
          <w:b/>
          <w:color w:val="000000"/>
        </w:rPr>
        <w:t>15.</w:t>
      </w:r>
      <w:r w:rsidRPr="00EB42E1">
        <w:rPr>
          <w:b/>
          <w:bCs/>
          <w:color w:val="000000"/>
        </w:rPr>
        <w:t xml:space="preserve"> </w:t>
      </w:r>
      <w:r w:rsidRPr="00BE0E8C">
        <w:rPr>
          <w:b/>
          <w:bCs/>
          <w:color w:val="000000"/>
        </w:rPr>
        <w:t>Enhancement of limit of maximum balance per customer at end of the day from ₹1 lakh to ₹2 lakh – Payments Banks (PBs)</w:t>
      </w:r>
    </w:p>
    <w:p w:rsidR="00EB42E1" w:rsidRPr="00BE0E8C" w:rsidRDefault="00EB42E1" w:rsidP="00EB42E1">
      <w:pPr>
        <w:pStyle w:val="NormalWeb"/>
        <w:shd w:val="clear" w:color="auto" w:fill="FFFFFF"/>
        <w:spacing w:before="0" w:beforeAutospacing="0" w:after="0" w:afterAutospacing="0"/>
        <w:jc w:val="both"/>
        <w:rPr>
          <w:b/>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RBI/2021-22/20 DoR.LIC.REC.5/16.13.218/2021-22</w:t>
      </w:r>
      <w:r w:rsidRPr="00BE0E8C">
        <w:rPr>
          <w:b/>
          <w:color w:val="000000"/>
        </w:rPr>
        <w:tab/>
      </w:r>
      <w:r w:rsidRPr="00BE0E8C">
        <w:rPr>
          <w:b/>
          <w:color w:val="000000"/>
        </w:rPr>
        <w:tab/>
      </w:r>
      <w:r w:rsidRPr="00BE0E8C">
        <w:rPr>
          <w:b/>
          <w:color w:val="000000"/>
        </w:rPr>
        <w:tab/>
        <w:t>April 8, 2021</w:t>
      </w:r>
    </w:p>
    <w:p w:rsidR="00EB42E1" w:rsidRPr="00BE0E8C" w:rsidRDefault="00EB42E1" w:rsidP="00EB42E1">
      <w:pPr>
        <w:pStyle w:val="NormalWeb"/>
        <w:shd w:val="clear" w:color="auto" w:fill="FFFFFF"/>
        <w:spacing w:before="0" w:beforeAutospacing="0" w:after="0" w:afterAutospacing="0"/>
        <w:jc w:val="both"/>
        <w:rPr>
          <w:i/>
          <w:color w:val="000000"/>
          <w:shd w:val="clear" w:color="auto" w:fill="FFFFFF"/>
        </w:rPr>
      </w:pPr>
    </w:p>
    <w:p w:rsidR="00EB42E1" w:rsidRPr="00BE0E8C" w:rsidRDefault="00EB42E1" w:rsidP="00EB42E1">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Chief Executive Officers of Payments Banks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Please refer to paragraph 3 of </w:t>
      </w:r>
      <w:hyperlink r:id="rId44" w:tgtFrame="_blank" w:history="1">
        <w:r w:rsidRPr="00BE0E8C">
          <w:rPr>
            <w:rStyle w:val="Hyperlink"/>
          </w:rPr>
          <w:t>Statement on Developmental and Regulatory Policies dated April 7, 2021</w:t>
        </w:r>
      </w:hyperlink>
      <w:r w:rsidRPr="00BE0E8C">
        <w:rPr>
          <w:color w:val="000000"/>
        </w:rPr>
        <w:t> on the above subject.</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 In terms of paragraph 4(i) of the ‘</w:t>
      </w:r>
      <w:hyperlink r:id="rId45" w:tgtFrame="_blank" w:history="1">
        <w:r w:rsidRPr="00BE0E8C">
          <w:rPr>
            <w:rStyle w:val="Hyperlink"/>
          </w:rPr>
          <w:t>Guidelines for Licensing of Payments Banks’ (Licensing Guidelines) dated November 27, 2014</w:t>
        </w:r>
      </w:hyperlink>
      <w:r w:rsidRPr="00BE0E8C">
        <w:rPr>
          <w:color w:val="000000"/>
        </w:rPr>
        <w:t>, PBs were restricted to hold a maximum balance of ₹1 lakh per individual customer at the end of the day. It was also indicated in the guidelines that after gauging the performance of the PBs, RBI may consider increasing the maximum balance limit.</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3. Considering the progress made by PBs in furthering financial inclusion and with the objective of giving more flexibility to the PBs, it has been decided to enhance the limit of maximum balance at the end of the day from ₹1 lakh to ₹2 lakh per individual customer of PBs with immediate effect.</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4. The other terms and conditions of the Licensing Guidelines remain unchanged.</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pBdr>
          <w:bottom w:val="single" w:sz="12" w:space="1" w:color="auto"/>
        </w:pBdr>
        <w:shd w:val="clear" w:color="auto" w:fill="FFFFFF"/>
        <w:spacing w:before="0" w:beforeAutospacing="0" w:after="0" w:afterAutospacing="0"/>
        <w:jc w:val="both"/>
        <w:rPr>
          <w:color w:val="000000"/>
        </w:rPr>
      </w:pPr>
      <w:hyperlink r:id="rId46" w:history="1">
        <w:r w:rsidRPr="00BE0E8C">
          <w:rPr>
            <w:rStyle w:val="Hyperlink"/>
          </w:rPr>
          <w:t>https://www.rbi.org.in/Scripts/NotificationUser.aspx?Id=12074&amp;Mode=0</w:t>
        </w:r>
      </w:hyperlink>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b/>
          <w:bCs/>
          <w:color w:val="000000"/>
        </w:rPr>
      </w:pPr>
      <w:r>
        <w:rPr>
          <w:b/>
          <w:color w:val="000000"/>
        </w:rPr>
        <w:t>16.</w:t>
      </w:r>
      <w:r w:rsidRPr="00EB42E1">
        <w:rPr>
          <w:b/>
          <w:bCs/>
          <w:color w:val="000000"/>
        </w:rPr>
        <w:t xml:space="preserve"> </w:t>
      </w:r>
      <w:r w:rsidRPr="00BE0E8C">
        <w:rPr>
          <w:b/>
          <w:bCs/>
          <w:color w:val="000000"/>
        </w:rPr>
        <w:t>Asset Classification and Income Recognition following the expiry of Covid-19 regulatory package</w:t>
      </w:r>
    </w:p>
    <w:p w:rsidR="00EB42E1" w:rsidRDefault="00EB42E1" w:rsidP="00EB42E1">
      <w:pPr>
        <w:pStyle w:val="NormalWeb"/>
        <w:shd w:val="clear" w:color="auto" w:fill="FFFFFF"/>
        <w:spacing w:before="0" w:beforeAutospacing="0" w:after="0" w:afterAutospacing="0"/>
        <w:jc w:val="both"/>
        <w:rPr>
          <w:b/>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RBI/2021-22/17 DOR.STR.REC.4/21.04.048/2021-22</w:t>
      </w:r>
      <w:r w:rsidRPr="00BE0E8C">
        <w:rPr>
          <w:b/>
          <w:color w:val="000000"/>
        </w:rPr>
        <w:tab/>
      </w:r>
      <w:r w:rsidRPr="00BE0E8C">
        <w:rPr>
          <w:b/>
          <w:color w:val="000000"/>
        </w:rPr>
        <w:tab/>
      </w:r>
      <w:r w:rsidRPr="00BE0E8C">
        <w:rPr>
          <w:b/>
          <w:color w:val="000000"/>
        </w:rPr>
        <w:tab/>
        <w:t>April 7, 2021</w:t>
      </w:r>
    </w:p>
    <w:p w:rsidR="00EB42E1" w:rsidRDefault="00EB42E1" w:rsidP="00EB42E1">
      <w:pPr>
        <w:pStyle w:val="NormalWeb"/>
        <w:shd w:val="clear" w:color="auto" w:fill="FFFFFF"/>
        <w:spacing w:before="0" w:beforeAutospacing="0" w:after="0" w:afterAutospacing="0"/>
        <w:jc w:val="both"/>
        <w:rPr>
          <w:i/>
          <w:color w:val="000000"/>
        </w:rPr>
      </w:pPr>
    </w:p>
    <w:p w:rsidR="00EB42E1" w:rsidRPr="00BE0E8C" w:rsidRDefault="00EB42E1" w:rsidP="00EB42E1">
      <w:pPr>
        <w:pStyle w:val="NormalWeb"/>
        <w:shd w:val="clear" w:color="auto" w:fill="FFFFFF"/>
        <w:spacing w:before="0" w:beforeAutospacing="0" w:after="0" w:afterAutospacing="0"/>
        <w:jc w:val="both"/>
        <w:rPr>
          <w:i/>
          <w:color w:val="000000"/>
        </w:rPr>
      </w:pPr>
      <w:r w:rsidRPr="00BE0E8C">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The Hon’ble Supreme Court of India has pronounced its judgement in the matter of Small Scale Industrial Manufacturers Association vs UOI &amp; Ors. and other connected matters on March 23, 2021. In this connection, it is advised hereunder:</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I. Refund/adjustment of ‘interest on interest’</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 All lending institutions</w:t>
      </w:r>
      <w:r w:rsidRPr="00BE0E8C">
        <w:rPr>
          <w:color w:val="000000"/>
          <w:vertAlign w:val="superscript"/>
        </w:rPr>
        <w:t>1</w:t>
      </w:r>
      <w:r w:rsidRPr="00BE0E8C">
        <w:rPr>
          <w:color w:val="000000"/>
        </w:rPr>
        <w:t xml:space="preserve"> shall immediately put in place a Board-approved policy to refund/adjust the ‘interest on interest’ charged to the borrowers during the moratorium period, i.e. March 1, 2020 to August 31, 2020 in conformity with the above judgement. In order to ensure that the above judgement is implemented uniformly in letter and spirit by all lending institutions, methodology for calculation of the amount to be refunded/adjusted for different facilities shall be finalised by the Indian Banks Association (IBA) in consultation with other industry participants/bodies, which shall be adopted by all lending institutions.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3. The above reliefs shall be applicable to all borrowers, including those who had availed of working capital facilities during the moratorium period, irrespective of whether moratorium had been fully or partially availed, or not availed, in terms of the circulars DOR.No.BP.BC.47/21.04.048/2019-20 dated March 27, 2020 and DOR.No.BP.BC.71/21.04.048/2019-20 dated May 23, 2020 (“Covid-19 Regulatory Package”).</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4. Lending institutions shall disclose the aggregate amount to be refunded/adjusted in respect of their borrowers based on the above reliefs in their financial statements for the year ending March 31, 2021.</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b/>
          <w:color w:val="000000"/>
        </w:rPr>
      </w:pPr>
      <w:r w:rsidRPr="00BE0E8C">
        <w:rPr>
          <w:b/>
          <w:color w:val="000000"/>
        </w:rPr>
        <w:t>II. Asset Classification</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 Asset classification of borrower accounts by all lending institutions following the above judgment shall continue to be governed by the extant instructions as clarified below.</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In respect of accounts which were not granted any moratorium in terms of the Covid19 Regulatory Package, asset classification shall be as per the criteria laid out in the Master Circular - Prudential norms on Income Recognition, Asset Classification and Provisioning pertaining to Advances dated July 1, 2015 or other relevant instructions as applicable to the specific category of lending institutions (IRAC Norms).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In respect of accounts which were granted moratorium in terms of the Covid19 Regulatory Package, the asset classification for the period from March 1, 2020 to August 31, 2020 shall be governed in terms of the circular DOR.No.BP.BC.63/21.04.048/2019-20 dated April 17, 2020, read with circular DOR.No.BP.BC.71/21.04.048/2019-20 dated May 23, 2020. For the period commencing September 1, 2020, asset classification for all such accounts shall be as per the applicable IRAC Norms.</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vertAlign w:val="superscript"/>
        </w:rPr>
        <w:t>1</w:t>
      </w:r>
      <w:r w:rsidRPr="00BE0E8C">
        <w:rPr>
          <w:i/>
          <w:color w:val="000000"/>
          <w:shd w:val="clear" w:color="auto" w:fill="FFFFFF"/>
        </w:rPr>
        <w:t> Commercial Banks (including Small Finance Banks, Local Area Banks and Regional Rural Banks), Primary (Urban) Co-operative Banks/State Co-operative Banks/ District Central Co-operative Banks, All-India Financial Institutions, and Non-Banking Financial Companies (including Housing Finance Companies)</w:t>
      </w:r>
    </w:p>
    <w:p w:rsidR="00EB42E1" w:rsidRPr="00BE0E8C" w:rsidRDefault="00EB42E1" w:rsidP="00EB42E1">
      <w:pPr>
        <w:pStyle w:val="NormalWeb"/>
        <w:pBdr>
          <w:bottom w:val="single" w:sz="12" w:space="1" w:color="auto"/>
        </w:pBdr>
        <w:shd w:val="clear" w:color="auto" w:fill="FFFFFF"/>
        <w:spacing w:before="0" w:beforeAutospacing="0" w:after="0" w:afterAutospacing="0"/>
        <w:jc w:val="both"/>
        <w:rPr>
          <w:color w:val="000000"/>
        </w:rPr>
      </w:pPr>
    </w:p>
    <w:p w:rsidR="00EB42E1" w:rsidRPr="00BE0E8C" w:rsidRDefault="00EB42E1" w:rsidP="00EB42E1">
      <w:pPr>
        <w:pStyle w:val="NormalWeb"/>
        <w:pBdr>
          <w:bottom w:val="single" w:sz="12" w:space="1" w:color="auto"/>
        </w:pBdr>
        <w:shd w:val="clear" w:color="auto" w:fill="FFFFFF"/>
        <w:spacing w:before="0" w:beforeAutospacing="0" w:after="0" w:afterAutospacing="0"/>
        <w:jc w:val="both"/>
        <w:rPr>
          <w:color w:val="000000"/>
        </w:rPr>
      </w:pPr>
      <w:hyperlink r:id="rId47" w:history="1">
        <w:r w:rsidRPr="00BE0E8C">
          <w:rPr>
            <w:rStyle w:val="Hyperlink"/>
          </w:rPr>
          <w:t>https://www.rbi.org.in/Scripts/NotificationUser.aspx?Id=12071&amp;Mode=0</w:t>
        </w:r>
      </w:hyperlink>
    </w:p>
    <w:p w:rsidR="00EB42E1" w:rsidRPr="00BE0E8C" w:rsidRDefault="00EB42E1" w:rsidP="00EB42E1">
      <w:pPr>
        <w:pStyle w:val="NormalWeb"/>
        <w:shd w:val="clear" w:color="auto" w:fill="FFFFFF"/>
        <w:spacing w:before="0" w:beforeAutospacing="0" w:after="0" w:afterAutospacing="0"/>
        <w:jc w:val="both"/>
        <w:rPr>
          <w:b/>
          <w:bCs/>
          <w:color w:val="000000"/>
        </w:rPr>
      </w:pPr>
      <w:r>
        <w:rPr>
          <w:b/>
          <w:color w:val="000000"/>
        </w:rPr>
        <w:t>17.</w:t>
      </w:r>
      <w:r w:rsidRPr="00EB42E1">
        <w:rPr>
          <w:b/>
          <w:bCs/>
          <w:color w:val="000000"/>
        </w:rPr>
        <w:t xml:space="preserve"> </w:t>
      </w:r>
      <w:r w:rsidRPr="00BE0E8C">
        <w:rPr>
          <w:b/>
          <w:bCs/>
          <w:color w:val="000000"/>
        </w:rPr>
        <w:t>Deendayal Antyodaya Yojana – National Urban Livelihoods Mission (DAY-NULM)</w:t>
      </w:r>
    </w:p>
    <w:p w:rsidR="00EB42E1" w:rsidRPr="00BE0E8C" w:rsidRDefault="00EB42E1" w:rsidP="00EB42E1">
      <w:pPr>
        <w:pStyle w:val="NormalWeb"/>
        <w:shd w:val="clear" w:color="auto" w:fill="FFFFFF"/>
        <w:spacing w:before="0" w:beforeAutospacing="0" w:after="0" w:afterAutospacing="0"/>
        <w:jc w:val="both"/>
        <w:rPr>
          <w:b/>
          <w:bCs/>
          <w:color w:val="000000"/>
        </w:rPr>
      </w:pPr>
    </w:p>
    <w:p w:rsidR="00EB42E1" w:rsidRPr="00BE0E8C" w:rsidRDefault="00EB42E1" w:rsidP="00EB42E1">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RBI/2021-22/12 FIDD.GSSD.CO.BC.No.03/09.16.03/2021-22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05, 2021</w:t>
      </w:r>
    </w:p>
    <w:p w:rsidR="00EB42E1" w:rsidRPr="00BE0E8C" w:rsidRDefault="00EB42E1" w:rsidP="00EB42E1">
      <w:pPr>
        <w:spacing w:after="0" w:line="240" w:lineRule="auto"/>
        <w:jc w:val="both"/>
        <w:rPr>
          <w:rFonts w:ascii="Times New Roman" w:hAnsi="Times New Roman" w:cs="Times New Roman"/>
          <w:i/>
          <w:color w:val="000000"/>
          <w:sz w:val="24"/>
          <w:szCs w:val="24"/>
          <w:shd w:val="clear" w:color="auto" w:fill="FFFFFF"/>
        </w:rPr>
      </w:pPr>
    </w:p>
    <w:p w:rsidR="00EB42E1" w:rsidRPr="00BE0E8C" w:rsidRDefault="00EB42E1" w:rsidP="00EB42E1">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&amp; Managing Director/CEO, All Scheduled Commercial Banks &amp; Small Finance Banks</w:t>
      </w:r>
    </w:p>
    <w:p w:rsidR="00EB42E1" w:rsidRPr="00BE0E8C" w:rsidRDefault="00EB42E1" w:rsidP="00EB42E1">
      <w:pPr>
        <w:spacing w:after="0" w:line="240" w:lineRule="auto"/>
        <w:jc w:val="both"/>
        <w:rPr>
          <w:rFonts w:ascii="Times New Roman" w:hAnsi="Times New Roman" w:cs="Times New Roman"/>
          <w:color w:val="000000"/>
          <w:sz w:val="24"/>
          <w:szCs w:val="24"/>
          <w:shd w:val="clear" w:color="auto" w:fill="FFFFFF"/>
        </w:rPr>
      </w:pPr>
    </w:p>
    <w:p w:rsidR="00EB42E1" w:rsidRPr="00BE0E8C" w:rsidRDefault="00EB42E1" w:rsidP="00EB42E1">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Master Circular on DAY-NULM </w:t>
      </w:r>
      <w:hyperlink r:id="rId48" w:tgtFrame="_blank" w:history="1">
        <w:r w:rsidRPr="00BE0E8C">
          <w:rPr>
            <w:rStyle w:val="Hyperlink"/>
            <w:rFonts w:ascii="Times New Roman" w:hAnsi="Times New Roman" w:cs="Times New Roman"/>
            <w:sz w:val="24"/>
            <w:szCs w:val="24"/>
            <w:shd w:val="clear" w:color="auto" w:fill="FFFFFF"/>
          </w:rPr>
          <w:t>FIDD.GSSD.CO.BC.No.01/09.16.03/2019-20 dated July 01, 2019</w:t>
        </w:r>
      </w:hyperlink>
      <w:r w:rsidRPr="00BE0E8C">
        <w:rPr>
          <w:rFonts w:ascii="Times New Roman" w:hAnsi="Times New Roman" w:cs="Times New Roman"/>
          <w:color w:val="000000"/>
          <w:sz w:val="24"/>
          <w:szCs w:val="24"/>
          <w:shd w:val="clear" w:color="auto" w:fill="FFFFFF"/>
        </w:rPr>
        <w:t> containing the instructions / guidelines / directives issued to banks.</w:t>
      </w:r>
    </w:p>
    <w:p w:rsidR="00EB42E1" w:rsidRPr="00BE0E8C" w:rsidRDefault="00EB42E1" w:rsidP="00EB42E1">
      <w:pPr>
        <w:pStyle w:val="head"/>
        <w:shd w:val="clear" w:color="auto" w:fill="FFFFFF"/>
        <w:spacing w:before="0" w:beforeAutospacing="0" w:after="0" w:afterAutospacing="0"/>
        <w:jc w:val="both"/>
        <w:rPr>
          <w:b/>
          <w:bCs/>
          <w:color w:val="000000"/>
          <w:u w:val="single"/>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u w:val="single"/>
        </w:rPr>
        <w:t>Background</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The Government of India, Ministry of Housing and Urban Affairs (MoHUA), restructured the existing Swarna Jayanti Shahari Rozgar Yojana (SJSRY) and launched the National Urban Livelihoods Mission (NULM) in 2013. NULM has been under implementation w.e.f. September 24, 2013 in all district headquarters (irrespective of population) and all the cities with population of 1 lakh or more.</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erstwhile Ministry of Housing and Urban Poverty Alleviation (UPA Division), Government of India vide their Office Memorandum No.K-14011/2/2012-UPA/FTS-5196 dated February 19, 2016 had enhanced the scope of National Urban Livelihoods Mission. The Mission with enhanced scope was renamed as </w:t>
      </w:r>
      <w:r w:rsidRPr="00BE0E8C">
        <w:rPr>
          <w:rStyle w:val="head1"/>
          <w:b/>
          <w:bCs/>
          <w:color w:val="000000"/>
        </w:rPr>
        <w:t>“Deendayal Antyodaya Yojana -National Urban Livelihoods Mission (DAY-NULM)”</w:t>
      </w:r>
      <w:r w:rsidRPr="00BE0E8C">
        <w:rPr>
          <w:color w:val="000000"/>
        </w:rPr>
        <w: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The operational guidelines of the Self Employment Program (SEP) component of DAY-NULM are as under:</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1. Introduction: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develop a compendium of such activities/projects keeping in view skills available, marketability of products, costs, economic viability etc.</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 The percentage of women beneficiaries under SEP shall not be less than 30 percent. SCs and STs must be benefited at least to the extent of the proportion of their strength in the city/town population of poor. A special provision of 5 percent reservation should be made for the differently-abled under this program with priority to women. In view of the Prime Minister’s 15-Point Program for the Welfare of Minorities, at least 15 percent of the physical and financial targets under this component shall be earmarked for the minority communities.</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2. Selection of Beneficiary &amp; Procedure for Sponsoring Applications: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The Community Organizers (COs) and professionals from Urban Local Body (ULB) will identify the prospective beneficiaries from among the urban poor. The community structures 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empaneled Business Correspondents (BCs) and Business Facilitators (BFs) to increase the outreach. Due diligence will be undertaken as per the Banks’ policy, in this regard.</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2.1 The application for individual and group enterprise loans will be sponsored by the Urban Local Body (ULB) which will be the sponsoring agency for the individual and group enterprise.</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2.3 The beneficiaries desirous of seeking financial assistance for setting up an enterprise can submit an application of intent to the concerned ULB officials on a plain paper with basic details viz: Name, Age, Contact details, Address, Aadhaar details (if any), amount of loan required, bank account number (if available), type of enterprise/ activity, category etc. The intent could also be sent by mail /post to the ULB office. The ULB shall accept such intents throughout the year.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2.4 The community structures formed under Social Mobilization &amp; Institutional Development (SM&amp;ID) component of DAY-NULM viz: Self Help Groups (SHGs)/ Area Level Federations (ALFs) may also refer prospective individual and group entrepreneurs for purpose of financial assistance under SEP to ULB.</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2.6 ULB will call the beneficiaries in order of the waiting list to complete requisite documentation including filling of Loan Application Form (LAF), activity details, identity proof, address proof, bank account details etc. To verify the identity of the beneficiary, her/his Aadhar number will also be brought on record. If beneficiary does not have Aadhaar card, his/ her any other unique identification document like voters’ card, driving license etc. will be taken and s/he will be helped to obtain Aadhar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2.7 A Task Force constituted at ULB level will scrutinize the applications based on experience, skills, viability of activity, scope of the activity etc. Thereafter, the Task Force will shortlist the applications and call for interview of the applicants before recommending or rejecting the application or call for additional information from the applicant if required.</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2.8 The Chief Executive Officer (CEO)/ Municipal Commissioner of ULB will be responsible to constitute the Task Force and will be the Chairman of the Task force. There could be more than 1 task force at ULB level depending upon the size/population of the ULB.</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2.9 The indicative composition of the Task Force is as follows:</w:t>
      </w:r>
    </w:p>
    <w:p w:rsidR="00EB42E1" w:rsidRPr="00BE0E8C" w:rsidRDefault="00EB42E1" w:rsidP="00EB42E1">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4848"/>
        <w:gridCol w:w="2623"/>
      </w:tblGrid>
      <w:tr w:rsidR="00EB42E1" w:rsidRPr="00BE0E8C" w:rsidTr="006A1807">
        <w:trPr>
          <w:jc w:val="center"/>
        </w:trPr>
        <w:tc>
          <w:tcPr>
            <w:tcW w:w="300" w:type="pct"/>
            <w:tcMar>
              <w:top w:w="0" w:type="dxa"/>
              <w:left w:w="45" w:type="dxa"/>
              <w:bottom w:w="0" w:type="dxa"/>
              <w:right w:w="45" w:type="dxa"/>
            </w:tcMar>
            <w:vAlign w:val="center"/>
            <w:hideMark/>
          </w:tcPr>
          <w:p w:rsidR="00EB42E1" w:rsidRPr="00BE0E8C" w:rsidRDefault="00EB42E1" w:rsidP="006A1807">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Sr. No.</w:t>
            </w:r>
          </w:p>
        </w:tc>
        <w:tc>
          <w:tcPr>
            <w:tcW w:w="3050" w:type="pct"/>
            <w:tcMar>
              <w:top w:w="0" w:type="dxa"/>
              <w:left w:w="45" w:type="dxa"/>
              <w:bottom w:w="0" w:type="dxa"/>
              <w:right w:w="45" w:type="dxa"/>
            </w:tcMar>
            <w:vAlign w:val="center"/>
            <w:hideMark/>
          </w:tcPr>
          <w:p w:rsidR="00EB42E1" w:rsidRPr="00BE0E8C" w:rsidRDefault="00EB42E1" w:rsidP="006A1807">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TASK Force at ULB level</w:t>
            </w:r>
          </w:p>
        </w:tc>
        <w:tc>
          <w:tcPr>
            <w:tcW w:w="1650" w:type="pct"/>
            <w:tcMar>
              <w:top w:w="0" w:type="dxa"/>
              <w:left w:w="45" w:type="dxa"/>
              <w:bottom w:w="0" w:type="dxa"/>
              <w:right w:w="45" w:type="dxa"/>
            </w:tcMar>
            <w:vAlign w:val="center"/>
            <w:hideMark/>
          </w:tcPr>
          <w:p w:rsidR="00EB42E1" w:rsidRPr="00BE0E8C" w:rsidRDefault="00EB42E1" w:rsidP="006A1807">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Role</w:t>
            </w:r>
          </w:p>
        </w:tc>
      </w:tr>
      <w:tr w:rsidR="00EB42E1" w:rsidRPr="00BE0E8C" w:rsidTr="006A1807">
        <w:trPr>
          <w:jc w:val="center"/>
        </w:trPr>
        <w:tc>
          <w:tcPr>
            <w:tcW w:w="30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3050" w:type="pct"/>
            <w:tcMar>
              <w:top w:w="0" w:type="dxa"/>
              <w:left w:w="45" w:type="dxa"/>
              <w:bottom w:w="0" w:type="dxa"/>
              <w:right w:w="45" w:type="dxa"/>
            </w:tcMar>
            <w:hideMark/>
          </w:tcPr>
          <w:p w:rsidR="00EB42E1" w:rsidRPr="00BE0E8C" w:rsidRDefault="00EB42E1"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Chief Executive Officer (CEO) ULB/ Municipal Commissioner of ULB/ or any representative authorized by CEO ULB</w:t>
            </w:r>
          </w:p>
        </w:tc>
        <w:tc>
          <w:tcPr>
            <w:tcW w:w="165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Chairman</w:t>
            </w:r>
          </w:p>
        </w:tc>
      </w:tr>
      <w:tr w:rsidR="00EB42E1" w:rsidRPr="00BE0E8C" w:rsidTr="006A1807">
        <w:trPr>
          <w:jc w:val="center"/>
        </w:trPr>
        <w:tc>
          <w:tcPr>
            <w:tcW w:w="30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3050" w:type="pct"/>
            <w:tcMar>
              <w:top w:w="0" w:type="dxa"/>
              <w:left w:w="45" w:type="dxa"/>
              <w:bottom w:w="0" w:type="dxa"/>
              <w:right w:w="45" w:type="dxa"/>
            </w:tcMar>
            <w:hideMark/>
          </w:tcPr>
          <w:p w:rsidR="00EB42E1" w:rsidRPr="00BE0E8C" w:rsidRDefault="00EB42E1"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Lead District Manager (LDM)</w:t>
            </w:r>
          </w:p>
        </w:tc>
        <w:tc>
          <w:tcPr>
            <w:tcW w:w="165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EB42E1" w:rsidRPr="00BE0E8C" w:rsidTr="006A1807">
        <w:trPr>
          <w:jc w:val="center"/>
        </w:trPr>
        <w:tc>
          <w:tcPr>
            <w:tcW w:w="30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3050" w:type="pct"/>
            <w:tcMar>
              <w:top w:w="0" w:type="dxa"/>
              <w:left w:w="45" w:type="dxa"/>
              <w:bottom w:w="0" w:type="dxa"/>
              <w:right w:w="45" w:type="dxa"/>
            </w:tcMar>
            <w:hideMark/>
          </w:tcPr>
          <w:p w:rsidR="00EB42E1" w:rsidRPr="00BE0E8C" w:rsidRDefault="00EB42E1"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City Project Officer (CPO), ULB/ or any authorized representative of ULB</w:t>
            </w:r>
          </w:p>
        </w:tc>
        <w:tc>
          <w:tcPr>
            <w:tcW w:w="165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 Convenor</w:t>
            </w:r>
          </w:p>
        </w:tc>
      </w:tr>
      <w:tr w:rsidR="00EB42E1" w:rsidRPr="00BE0E8C" w:rsidTr="006A1807">
        <w:trPr>
          <w:jc w:val="center"/>
        </w:trPr>
        <w:tc>
          <w:tcPr>
            <w:tcW w:w="30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4.</w:t>
            </w:r>
          </w:p>
        </w:tc>
        <w:tc>
          <w:tcPr>
            <w:tcW w:w="3050" w:type="pct"/>
            <w:tcMar>
              <w:top w:w="0" w:type="dxa"/>
              <w:left w:w="45" w:type="dxa"/>
              <w:bottom w:w="0" w:type="dxa"/>
              <w:right w:w="45" w:type="dxa"/>
            </w:tcMar>
            <w:hideMark/>
          </w:tcPr>
          <w:p w:rsidR="00EB42E1" w:rsidRPr="00BE0E8C" w:rsidRDefault="00EB42E1"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 from District Industries Centre (DIC)</w:t>
            </w:r>
          </w:p>
        </w:tc>
        <w:tc>
          <w:tcPr>
            <w:tcW w:w="165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EB42E1" w:rsidRPr="00BE0E8C" w:rsidTr="006A1807">
        <w:trPr>
          <w:jc w:val="center"/>
        </w:trPr>
        <w:tc>
          <w:tcPr>
            <w:tcW w:w="30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5.</w:t>
            </w:r>
          </w:p>
        </w:tc>
        <w:tc>
          <w:tcPr>
            <w:tcW w:w="3050" w:type="pct"/>
            <w:tcMar>
              <w:top w:w="0" w:type="dxa"/>
              <w:left w:w="45" w:type="dxa"/>
              <w:bottom w:w="0" w:type="dxa"/>
              <w:right w:w="45" w:type="dxa"/>
            </w:tcMar>
            <w:hideMark/>
          </w:tcPr>
          <w:p w:rsidR="00EB42E1" w:rsidRPr="00BE0E8C" w:rsidRDefault="00EB42E1"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Senior Branch Managers (Max-2) of banks</w:t>
            </w:r>
          </w:p>
        </w:tc>
        <w:tc>
          <w:tcPr>
            <w:tcW w:w="165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EB42E1" w:rsidRPr="00BE0E8C" w:rsidTr="006A1807">
        <w:trPr>
          <w:jc w:val="center"/>
        </w:trPr>
        <w:tc>
          <w:tcPr>
            <w:tcW w:w="30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c>
          <w:tcPr>
            <w:tcW w:w="3050" w:type="pct"/>
            <w:tcMar>
              <w:top w:w="0" w:type="dxa"/>
              <w:left w:w="45" w:type="dxa"/>
              <w:bottom w:w="0" w:type="dxa"/>
              <w:right w:w="45" w:type="dxa"/>
            </w:tcMar>
            <w:hideMark/>
          </w:tcPr>
          <w:p w:rsidR="00EB42E1" w:rsidRPr="00BE0E8C" w:rsidRDefault="00EB42E1"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Representatives(2) of Area Level Federation / City Level Federation</w:t>
            </w:r>
          </w:p>
        </w:tc>
        <w:tc>
          <w:tcPr>
            <w:tcW w:w="1650" w:type="pct"/>
            <w:tcMar>
              <w:top w:w="0" w:type="dxa"/>
              <w:left w:w="45" w:type="dxa"/>
              <w:bottom w:w="0" w:type="dxa"/>
              <w:right w:w="45" w:type="dxa"/>
            </w:tcMar>
            <w:hideMark/>
          </w:tcPr>
          <w:p w:rsidR="00EB42E1" w:rsidRPr="00BE0E8C" w:rsidRDefault="00EB42E1"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bl>
    <w:p w:rsidR="00EB42E1" w:rsidRPr="00BE0E8C" w:rsidRDefault="00EB42E1" w:rsidP="00EB42E1">
      <w:pPr>
        <w:pStyle w:val="NormalWeb"/>
        <w:shd w:val="clear" w:color="auto" w:fill="FFFFFF"/>
        <w:spacing w:before="0" w:beforeAutospacing="0" w:after="0" w:afterAutospacing="0"/>
        <w:jc w:val="both"/>
        <w:rPr>
          <w:color w:val="000000"/>
        </w:rPr>
      </w:pP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2.10 The task force will then recommend the applications if found suitable, reject if found unsuitable or ask the beneficiary to submit further requisite information for re-examination on case to case basis.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2.12 The banks will send a periodic report to the ULB on the status of the applications received. In case of MIS being used, the banks may be allowed to update the status of application online in addition to manual report.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2.13 Banks may also directly accept the loan applications of urban poor beneficiaries on the basis of relevant documents as per the guidelines of Prime Minister MUDRA Yojana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3. Educational Qualifications and Training Requirement: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3.1 Employment through Skills Training and Placement (EST&amp;P):</w:t>
      </w:r>
      <w:r w:rsidRPr="00BE0E8C">
        <w:rPr>
          <w:color w:val="000000"/>
        </w:rPr>
        <w:t> Financial assistance should be extended only after the prospective beneficiary has acquired required skills for running 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3.2 Entrepreneurship Development Program (EDP): </w:t>
      </w:r>
      <w:r w:rsidRPr="00BE0E8C">
        <w:rPr>
          <w:color w:val="000000"/>
        </w:rPr>
        <w:t>In addition to skill training of the beneficiaries, the ULB will also arrange to conduct Entrepreneurship Development Program for 3-7 days for individual and group entrepreneurs. The EDP will cover basics of entrepreneurship development such as management of an enterprise, basic accounting, financial management, marketing, backward and forward linkages, legal procedures, costing and revenue etc. In addition to above topics the module should also include group dynamics, allocation of work, profit sharing mechanism etc. for group enterprises.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3.3 The EDP module may be developed and finalized by State Urban Livelihoods Mission (SULM) supported by State Mission Management Unit (SMMU) with assistance of an empaneled institution/agency or consulting firm and same may be utilized for conducting 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3.4 Follow-up entrepreneurial support to Individual and Group entrepreneurs:</w:t>
      </w:r>
      <w:r w:rsidRPr="00BE0E8C">
        <w:rPr>
          <w:color w:val="000000"/>
        </w:rPr>
        <w:t> After financing to Individual and Group beneficiaries, the ULB will also arrange to conduct follow-up Entrepreneurship Development Programme (EDP) as and when required. Such programme should preferably be conducted once in six months for each beneficiary who has been given a loan. During the follow-up EDP, problems and issues faced by beneficiaries should also be discussed and solutions should be given.</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4. Pattern of Financial Assistance:</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5. Procedure for interest subsidy to Banks: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5.1 All scheduled commercial banks (SCBs) and Small Finance Banks which are on the Core Banking Solution (CBS) platform would be eligible for getting interest subvention under the scheme.</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5.2 After disbursement of loan to the beneficiaries, the concerned branch of the bank will send details of disbursed loan cases to ULB along with details of interest subsidy amount.</w:t>
      </w: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Procedure I</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5.3 The submission and settlement of claims made by banks would be done on monthly basis. The ULB will check the data at their end and will release the interest subsidy amount (difference between 7% p.a. and prevailing rate of interest) to the banks.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5.4 Banks can upload XML file format for Master data and XML file format for Claim data for interest subsidy as per Data Structure Document available on </w:t>
      </w:r>
      <w:hyperlink r:id="rId49" w:tgtFrame="_blank" w:history="1">
        <w:r w:rsidRPr="00BE0E8C">
          <w:rPr>
            <w:rStyle w:val="Hyperlink"/>
          </w:rPr>
          <w:t>www.paisaportal.in</w:t>
        </w:r>
      </w:hyperlink>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Procedure - II</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lastRenderedPageBreak/>
        <w:t>5.6 Settlement of Claims:</w:t>
      </w:r>
      <w:r w:rsidRPr="00BE0E8C">
        <w:rPr>
          <w:color w:val="000000"/>
        </w:rPr>
        <w:t> Nodal Agency for releasing interest subsidy: A public sector bank may be engaged at national level. All the Banks will consolidate data regarding interest subsidy from their branches and upload on the portal of Nodal Bank. The nodal bank, after verification by concerned ULB/states, will transfer the interest subsidy to the beneficiaries through DBT mode. The State/UT will deposit some funds in advance with the nodal bank, which will release funds as per guidelines of the DAY-NULM. Nodal bank will regularly render account of reimbursement to the SULM. This procedure will be followed in all three types of loans i.e. SEP (I), SEP (G) and SHG-Bank Linkage.</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6. Individual Enterprises (SEP-I)-Loan &amp; Subsidy</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An urban poor individual beneficiary desirous of setting up an individual micro-enterprise for self-employment can avail benefit of subsidized loan under this component from any bank. The norms/ specifications for individual micro-enterprise loans are as follows: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6.1 Age:</w:t>
      </w:r>
      <w:r w:rsidRPr="00BE0E8C">
        <w:rPr>
          <w:color w:val="000000"/>
        </w:rPr>
        <w:t> The prospective beneficiary should have attained the age of 18 Years at the time of applying for loan.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6.2 Project Cost (PC):</w:t>
      </w:r>
      <w:r w:rsidRPr="00BE0E8C">
        <w:rPr>
          <w:color w:val="000000"/>
        </w:rPr>
        <w:t> The Maximum unit Project Cost for an individual micro-enterprise is ₹ 2,00,000 (₹ Two Lakhs).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6.3 Collateral Guarantee on Bank Loan:</w:t>
      </w:r>
      <w:r w:rsidRPr="00BE0E8C">
        <w:rPr>
          <w:color w:val="000000"/>
        </w:rPr>
        <w:t> No collateral required. As per RBI </w:t>
      </w:r>
      <w:hyperlink r:id="rId50" w:tgtFrame="_blank" w:history="1">
        <w:r w:rsidRPr="00BE0E8C">
          <w:rPr>
            <w:rStyle w:val="Hyperlink"/>
          </w:rPr>
          <w:t>Circular RPCD.SME &amp; NFS.BC.No.79/06.02.31/2009-10 dated May 6, 2010</w:t>
        </w:r>
      </w:hyperlink>
      <w:r w:rsidRPr="00BE0E8C">
        <w:rPr>
          <w:color w:val="000000"/>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6.4 Repayment:</w:t>
      </w:r>
      <w:r w:rsidRPr="00BE0E8C">
        <w:rPr>
          <w:color w:val="000000"/>
        </w:rPr>
        <w:t> Repayment schedule would range between 5 to 7 Years after initial moratorium of 6-18 months as per norms of the banks.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6.5 Margin Money:</w:t>
      </w:r>
      <w:r w:rsidRPr="00BE0E8C">
        <w:rPr>
          <w:color w:val="000000"/>
        </w:rPr>
        <w:t> No margin money should be taken for a loan up to ₹ 50,000 and for higher amount loans, preferably 5% should be taken as margin money and it should in no case be more than 10% of the project cost.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6.6 Type of Loan Facility:</w:t>
      </w:r>
      <w:r w:rsidRPr="00BE0E8C">
        <w:rPr>
          <w:color w:val="000000"/>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7. Group Enterprises (SEP-G) -Loan &amp; Subsidy</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7.1 Eligibility Criteria:</w:t>
      </w:r>
      <w:r w:rsidRPr="00BE0E8C">
        <w:rPr>
          <w:color w:val="000000"/>
        </w:rPr>
        <w:t> The group enterprises should have minimum of Three (3) members with a minimum of 70% of the members from urban poor families. More than one person from the same family should not be included in the same group.</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7.2 Age:</w:t>
      </w:r>
      <w:r w:rsidRPr="00BE0E8C">
        <w:rPr>
          <w:color w:val="000000"/>
        </w:rPr>
        <w:t> All members of the group enterprise should have attained an age of 18 years at the time of applying for bank loan.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7.3 Project Cost (PC): </w:t>
      </w:r>
      <w:r w:rsidRPr="00BE0E8C">
        <w:rPr>
          <w:color w:val="000000"/>
        </w:rPr>
        <w:t>The group will be eligible for a maximum loan of Rs. 2 Lakh per member or Rs. 10 Lakh, whichever is lower.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lastRenderedPageBreak/>
        <w:t>7.4 Type of Loan:</w:t>
      </w:r>
      <w:r w:rsidRPr="00BE0E8C">
        <w:rPr>
          <w:color w:val="000000"/>
        </w:rPr>
        <w:t> Loan can be extended either as a single loan to the group functioning as one borrowing unit or each member of the group can be provided individual loans up to 2 lakhs and an overall cap of 10 lakhs based on the principal of joint liability of the group. The principles laid down in the RBI circular on “Budget (2014-15) Announcement Financing of Joint Farming Groups of ‘Bhoomi Heen Kisan’ dated 13th November, 2014” and subsequent revisions should be followed in case of loans to a group.</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7.5 Type of Loan Facility:</w:t>
      </w:r>
      <w:r w:rsidRPr="00BE0E8C">
        <w:rPr>
          <w:color w:val="000000"/>
        </w:rPr>
        <w:t> Banks may extend finance to groups for capital expenditure in the form of Term Loan and for Working Capital, through Cash Credit Facility. Banks may also extend Composite Loans for Capital Expenditure and Working Capital, depending upon Group’s requirement.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7.6 Loan and Margin Money:</w:t>
      </w:r>
      <w:r w:rsidRPr="00BE0E8C">
        <w:rPr>
          <w:color w:val="000000"/>
        </w:rPr>
        <w:t> The Project Cost minus the beneficiary contribution (Margin Money) would be made available as loan amount to the group enterprise by the bank. No margin money should be taken for loan up to ₹ 50,000 and for higher amount loans, preferably 5% should be taken as margin money and it should in no case be more than 10% of the project cost.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7.7 Collateral Guarantee on Bank Loan:</w:t>
      </w:r>
      <w:r w:rsidRPr="00BE0E8C">
        <w:rPr>
          <w:color w:val="000000"/>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7.8 Repayment:</w:t>
      </w:r>
      <w:r w:rsidRPr="00BE0E8C">
        <w:rPr>
          <w:color w:val="000000"/>
        </w:rPr>
        <w:t> Repayment schedule would range between 5 to 7 Years after initial moratorium of 6-18 months as per the norms of the banks.</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8. SHG-Bank Linkage – General Guidelines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8.1 Master Circular of RBI on SHG-Bank Linkage Programme, </w:t>
      </w:r>
      <w:hyperlink r:id="rId51" w:tgtFrame="_blank" w:history="1">
        <w:r w:rsidRPr="00BE0E8C">
          <w:rPr>
            <w:rStyle w:val="Hyperlink"/>
          </w:rPr>
          <w:t>FIDD.FID.BC. No.06/12.01.033/2021-22 dated April 01, 2021</w:t>
        </w:r>
      </w:hyperlink>
      <w:r w:rsidRPr="00BE0E8C">
        <w:rPr>
          <w:color w:val="000000"/>
        </w:rPr>
        <w:t>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advances to SHGs irrespective of the purposes for which the members of SHGs should be included by the banks as part of their lending to the weaker sections.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8.3 The banks will send the details of disbursed loan cases to the ULB along with the calculation details of the interest subsidy amount. The ULB will check the data at their end and will release the interest subsidy amount on monthly basis to the banks following a similar procedure as mentioned in Para 5.</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8.4 The ULB through its field staff or Resource Organization (ROs) will facilitate filling of loan applications for eligible SHGs to access credit from the banks. The ULB will be responsible to forward the Loan application of the SHGs to the concerned banks with requisite documentation. The ULB will maintain area wise, bank-wise, ROs/ Staff wise data of SHGs loan applications forwarded to the banks. The same will be sent to SULM on a monthly basis.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8.5 In order to ensure effective SHG-Bank Linkage under DAY-NULM, the SULM will monitor and review the progress with banks on regular basis and co-ordinate with SLBC for interest subsidy/ subvention on SHG Loans in the state. Active involvement of State level Bankers’ Committee (SLBC) and lead banks may be ensured for sensitization of bank and branch staff for financial inclusion of urban poor.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8.6 It may be noted that the identification, selection, formation and monitoring of SHGs who are to get interest subvention would be the responsibility of State/ ULBs and banks would not be liable for wrong identification of SHGs who get interest subvention.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8.7 Type of Loan Facility: SHGs can avail either Term loan or a Cash Credit Limit (CCL) loan or both based on their needs. In case of need, additional loan can be sanctioned even though the previous loan is outstanding.</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8.8 Guidelines for prompt repayment are as follows:</w:t>
      </w: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a. For Cash Credit Limit to SHGs: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 Outstanding balance shall not have remained in excess of the sanctioned limit/drawing power continuously for more than 30 days.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ii) There shall be regular credits and debits in the account. In any case there shall be at least one customer induced credit during the month.</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iii) Customer induced Credits during a month shall be sufficient to cover the interest debited during the month.</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rStyle w:val="head1"/>
          <w:b/>
          <w:bCs/>
          <w:color w:val="000000"/>
        </w:rPr>
        <w:t>b. For Term Loan to SHGs:</w:t>
      </w:r>
      <w:r w:rsidRPr="00BE0E8C">
        <w:rPr>
          <w:color w:val="000000"/>
        </w:rPr>
        <w:t> A term loan account where all of the interest payments and/or instalments of principal were paid within 30 days of the due date during the entire tenure of the loans would be considered as an account having prompt payment.</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9. Progress Reporting for SEP-I, SEP-G &amp; SEP-SHG</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9.2 The SULM will compile all the reports received from respective ULBs and will communicate to Ministry of Housing and Urban Affairs (MoHUA) on a monthly basis.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9.3 SULM must ensure that progress under SEP is reviewed in every SLBC and District Consultative Committee (DCC) meetings. Any other important issue with regard to SEP may be taken up by SULM with SLBC convener bank for effective coordination and implementation.</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10. Credit Card for enterprise development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 xml:space="preserve">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immediate and short term monthly requirement of cash for meeting expenses for purchase of goods, raw materials and other miscellaneous expenditures etc. The micro-entrepreneur does not </w:t>
      </w:r>
      <w:r w:rsidRPr="00BE0E8C">
        <w:rPr>
          <w:color w:val="000000"/>
        </w:rPr>
        <w:lastRenderedPageBreak/>
        <w:t>have a regular fixed monthly cash inflow/income to meet expenses arising out of entrepreneurial activities. To approach a financial institution for such immediate credit requirement, it requires procedural documentation and consumes a lot of time. This need for working capital credit is generally met from informal sources of credit (including money lenders) which is typically available at high rate of interest.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10.2 In order to support the micro-entrepreneurs to meet their working capital and miscellaneous credit needs, DAY-NULM will facilitate access to Credit Cards or MUDRA Card through banks.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10.3 The SULM in consultation with the State Level Bankers Committee (SLBC) will finalize the norms, limits and specifications for issuance of Credit Card (or) MUDRA Card to the individual entrepreneurs. The General Credit Card Scheme (GCC), which is being implemented by all scheduled commercial banks or any other variant of credit cards for enterprise development of banks in urban areas, may be explored by SULM and SLBC for the same. The Circular on revised GCC scheme has been issued by RBI notification vide </w:t>
      </w:r>
      <w:hyperlink r:id="rId52" w:tgtFrame="_blank" w:history="1">
        <w:r w:rsidRPr="00BE0E8C">
          <w:rPr>
            <w:rStyle w:val="Hyperlink"/>
          </w:rPr>
          <w:t>RPCD.MSME&amp;NFS.BC.No.61/06.02.31/2013-14 dated December 02, 2013</w:t>
        </w:r>
      </w:hyperlink>
      <w:r w:rsidRPr="00BE0E8C">
        <w:rPr>
          <w:color w:val="000000"/>
        </w:rPr>
        <w:t> available on RBI web-site ‘</w:t>
      </w:r>
      <w:hyperlink r:id="rId53" w:tgtFrame="_blank" w:history="1">
        <w:r w:rsidRPr="00BE0E8C">
          <w:rPr>
            <w:rStyle w:val="Hyperlink"/>
          </w:rPr>
          <w:t>www.rbi.org.in</w:t>
        </w:r>
      </w:hyperlink>
      <w:r w:rsidRPr="00BE0E8C">
        <w:rPr>
          <w:color w:val="000000"/>
        </w:rPr>
        <w: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10.5 The targets for the same may be decided at ULB level and the progress under this component is aggregated at SULM level and communicated to Ministry of Housing and Urban Affairs (MoHUA) periodically.</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11. Technology, Marketing and Other Support</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11.2 The City Livelihoods Centers (CLCs) established under DAY-NULM will offer services to the micro-enterprises such as in establishment (licenses, certificates registration, legal services 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11.4 The SULM may arrange for additional funds/professional assistance for the purpose of providing above services to CLCs.</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12. Funding Pattern of SEP of DAY-NULM</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12.1 Funding under this component will be shared between the Centre and the States as per the general norms under DAY-NULM.</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lastRenderedPageBreak/>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rsidR="00EB42E1" w:rsidRPr="00BE0E8C" w:rsidRDefault="00EB42E1" w:rsidP="00EB42E1">
      <w:pPr>
        <w:pStyle w:val="head"/>
        <w:shd w:val="clear" w:color="auto" w:fill="FFFFFF"/>
        <w:spacing w:before="0" w:beforeAutospacing="0" w:after="0" w:afterAutospacing="0"/>
        <w:jc w:val="both"/>
        <w:rPr>
          <w:b/>
          <w:bCs/>
          <w:color w:val="000000"/>
        </w:rPr>
      </w:pPr>
    </w:p>
    <w:p w:rsidR="00EB42E1" w:rsidRPr="00BE0E8C" w:rsidRDefault="00EB42E1" w:rsidP="00EB42E1">
      <w:pPr>
        <w:pStyle w:val="head"/>
        <w:shd w:val="clear" w:color="auto" w:fill="FFFFFF"/>
        <w:spacing w:before="0" w:beforeAutospacing="0" w:after="0" w:afterAutospacing="0"/>
        <w:jc w:val="both"/>
        <w:rPr>
          <w:b/>
          <w:bCs/>
          <w:color w:val="000000"/>
        </w:rPr>
      </w:pPr>
      <w:r w:rsidRPr="00BE0E8C">
        <w:rPr>
          <w:b/>
          <w:bCs/>
          <w:color w:val="000000"/>
        </w:rPr>
        <w:t>13. Monitoring and Evaluation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13.1 The State Mission Management Unit (SMMU) at the State level and City Mission Management Unit (CMMU) at the ULB level will closely monitor progress of activities / targets under this component, undertake reporting and evaluation. The SULM and the ULB/executing agencies shall report timely progress in formats prescribed by the Mission Directorate from time-to-time, indicating the cumulative achievement monthly and up to the end of the quarter and key issues in implementation.</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13.2 In addition, under DAY-NULM, a comprehensive and robust IT-enabled DAY-NULM MIS will be established for tracking targets and achievements. States and ULBs will be 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13.4 During the field visit mentioned above data on economic status of the beneficiaries should be collected and be compared with similar data given in loan application form, to know the impact of the benefit on the economic conditions of the beneficiaries.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13.5 Impact analysis studies may also be conducted at suitable interval to assess the impact of benefit under SEP on the economic status of the beneficiaries.</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13.6 To monitor progress of the targets vis-a-vis achievement under DAY-NULM, Banks are advised to furnish cumulative progress reports on quarterly basis as per enclosed proforma (</w:t>
      </w:r>
      <w:hyperlink r:id="rId54" w:tgtFrame="_blank" w:history="1">
        <w:r w:rsidRPr="00BE0E8C">
          <w:rPr>
            <w:rStyle w:val="Hyperlink"/>
          </w:rPr>
          <w:t>Annex I</w:t>
        </w:r>
      </w:hyperlink>
      <w:r w:rsidRPr="00BE0E8C">
        <w:rPr>
          <w:color w:val="000000"/>
        </w:rPr>
        <w:t> &amp; </w:t>
      </w:r>
      <w:hyperlink r:id="rId55" w:tgtFrame="_blank" w:history="1">
        <w:r w:rsidRPr="00BE0E8C">
          <w:rPr>
            <w:rStyle w:val="Hyperlink"/>
          </w:rPr>
          <w:t>II</w:t>
        </w:r>
      </w:hyperlink>
      <w:r w:rsidRPr="00BE0E8C">
        <w:rPr>
          <w:color w:val="000000"/>
        </w:rPr>
        <w:t>) to the Director, NULM as well as to RBI on </w:t>
      </w:r>
      <w:hyperlink r:id="rId56" w:history="1">
        <w:r w:rsidRPr="00BE0E8C">
          <w:rPr>
            <w:rStyle w:val="Hyperlink"/>
          </w:rPr>
          <w:t>email</w:t>
        </w:r>
      </w:hyperlink>
      <w:r w:rsidRPr="00BE0E8C">
        <w:rPr>
          <w:color w:val="000000"/>
        </w:rPr>
        <w:t> latest by the end of next month of the quarter to which they relate.</w:t>
      </w:r>
    </w:p>
    <w:p w:rsidR="00EB42E1" w:rsidRPr="00BE0E8C" w:rsidRDefault="00EB42E1" w:rsidP="00EB42E1">
      <w:pPr>
        <w:pStyle w:val="NormalWeb"/>
        <w:shd w:val="clear" w:color="auto" w:fill="FFFFFF"/>
        <w:spacing w:before="0" w:beforeAutospacing="0" w:after="0" w:afterAutospacing="0"/>
        <w:jc w:val="both"/>
        <w:rPr>
          <w:color w:val="000000"/>
        </w:rPr>
      </w:pPr>
      <w:r w:rsidRPr="00BE0E8C">
        <w:rPr>
          <w:color w:val="000000"/>
        </w:rPr>
        <w:t>13.7 </w:t>
      </w:r>
      <w:r w:rsidRPr="00BE0E8C">
        <w:rPr>
          <w:rStyle w:val="head1"/>
          <w:b/>
          <w:bCs/>
          <w:color w:val="000000"/>
        </w:rPr>
        <w:t>Unique Code for loans under NULM:</w:t>
      </w:r>
      <w:r w:rsidRPr="00BE0E8C">
        <w:rPr>
          <w:color w:val="000000"/>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rsidR="00EB42E1" w:rsidRPr="00BE0E8C" w:rsidRDefault="00EB42E1" w:rsidP="00EB42E1">
      <w:pPr>
        <w:pStyle w:val="NormalWeb"/>
        <w:shd w:val="clear" w:color="auto" w:fill="FFFFFF"/>
        <w:spacing w:before="0" w:beforeAutospacing="0" w:after="0" w:afterAutospacing="0"/>
        <w:jc w:val="both"/>
        <w:rPr>
          <w:color w:val="000000"/>
        </w:rPr>
      </w:pPr>
    </w:p>
    <w:p w:rsidR="00EB42E1" w:rsidRDefault="00EB42E1" w:rsidP="00EB42E1">
      <w:pPr>
        <w:pStyle w:val="NormalWeb"/>
        <w:pBdr>
          <w:bottom w:val="single" w:sz="6" w:space="1" w:color="auto"/>
        </w:pBdr>
        <w:shd w:val="clear" w:color="auto" w:fill="FFFFFF"/>
        <w:spacing w:before="0" w:beforeAutospacing="0" w:after="0" w:afterAutospacing="0"/>
        <w:jc w:val="both"/>
        <w:rPr>
          <w:rStyle w:val="Hyperlink"/>
        </w:rPr>
      </w:pPr>
      <w:hyperlink r:id="rId57" w:history="1">
        <w:r w:rsidRPr="00BE0E8C">
          <w:rPr>
            <w:rStyle w:val="Hyperlink"/>
          </w:rPr>
          <w:t>https://www.rbi.org.in/Scripts/NotificationUser.aspx?Id=12066&amp;Mode=0</w:t>
        </w:r>
      </w:hyperlink>
    </w:p>
    <w:p w:rsidR="00D12E6B" w:rsidRPr="00BE0E8C" w:rsidRDefault="00D12E6B" w:rsidP="00D12E6B">
      <w:pPr>
        <w:pStyle w:val="NormalWeb"/>
        <w:shd w:val="clear" w:color="auto" w:fill="FFFFFF"/>
        <w:spacing w:before="0" w:beforeAutospacing="0" w:after="0" w:afterAutospacing="0"/>
        <w:jc w:val="both"/>
        <w:rPr>
          <w:color w:val="000000"/>
        </w:rPr>
      </w:pPr>
      <w:r>
        <w:rPr>
          <w:b/>
          <w:color w:val="000000"/>
        </w:rPr>
        <w:t>18.</w:t>
      </w:r>
      <w:r w:rsidRPr="00D12E6B">
        <w:rPr>
          <w:b/>
          <w:bCs/>
          <w:color w:val="000000"/>
        </w:rPr>
        <w:t xml:space="preserve"> </w:t>
      </w:r>
      <w:r w:rsidRPr="00BE0E8C">
        <w:rPr>
          <w:b/>
          <w:bCs/>
          <w:color w:val="000000"/>
        </w:rPr>
        <w:t>Master Circular - Credit facilities to Scheduled Castes (SCs) &amp; Scheduled Tribes (STs)</w:t>
      </w:r>
    </w:p>
    <w:p w:rsidR="00D12E6B" w:rsidRPr="00BE0E8C" w:rsidRDefault="00D12E6B" w:rsidP="00D12E6B">
      <w:pPr>
        <w:pStyle w:val="NormalWeb"/>
        <w:shd w:val="clear" w:color="auto" w:fill="FFFFFF"/>
        <w:spacing w:before="0" w:beforeAutospacing="0" w:after="0" w:afterAutospacing="0"/>
        <w:jc w:val="both"/>
        <w:rPr>
          <w:b/>
          <w:color w:val="000000"/>
        </w:rPr>
      </w:pPr>
    </w:p>
    <w:p w:rsidR="00D12E6B" w:rsidRPr="00BE0E8C" w:rsidRDefault="00D12E6B" w:rsidP="00D12E6B">
      <w:pPr>
        <w:pStyle w:val="NormalWeb"/>
        <w:shd w:val="clear" w:color="auto" w:fill="FFFFFF"/>
        <w:spacing w:before="0" w:beforeAutospacing="0" w:after="0" w:afterAutospacing="0"/>
        <w:jc w:val="both"/>
        <w:rPr>
          <w:b/>
          <w:color w:val="000000"/>
        </w:rPr>
      </w:pPr>
      <w:r w:rsidRPr="00BE0E8C">
        <w:rPr>
          <w:b/>
          <w:color w:val="000000"/>
        </w:rPr>
        <w:t>RBI/2021-22/11 FIDD.CO.GSSD.BC.No.05/09.09.001/2021-22</w:t>
      </w:r>
      <w:r w:rsidRPr="00BE0E8C">
        <w:rPr>
          <w:b/>
          <w:color w:val="000000"/>
        </w:rPr>
        <w:tab/>
      </w:r>
      <w:r w:rsidRPr="00BE0E8C">
        <w:rPr>
          <w:b/>
          <w:color w:val="000000"/>
        </w:rPr>
        <w:tab/>
        <w:t>April 05, 2021</w:t>
      </w:r>
    </w:p>
    <w:p w:rsidR="00D12E6B" w:rsidRPr="00BE0E8C" w:rsidRDefault="00D12E6B" w:rsidP="00D12E6B">
      <w:pPr>
        <w:pStyle w:val="NormalWeb"/>
        <w:shd w:val="clear" w:color="auto" w:fill="FFFFFF"/>
        <w:spacing w:before="0" w:beforeAutospacing="0" w:after="0" w:afterAutospacing="0"/>
        <w:jc w:val="both"/>
        <w:rPr>
          <w:i/>
          <w:color w:val="000000"/>
          <w:shd w:val="clear" w:color="auto" w:fill="FFFFFF"/>
        </w:rPr>
      </w:pPr>
    </w:p>
    <w:p w:rsidR="00D12E6B" w:rsidRPr="00BE0E8C" w:rsidRDefault="00D12E6B" w:rsidP="00D12E6B">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lastRenderedPageBreak/>
        <w:t>The Chairman &amp; Managing Director \ CEO, All Scheduled Commercial Banks &amp; Small Finance Banks</w:t>
      </w:r>
    </w:p>
    <w:p w:rsidR="00D12E6B" w:rsidRPr="00BE0E8C" w:rsidRDefault="00D12E6B" w:rsidP="00D12E6B">
      <w:pPr>
        <w:pStyle w:val="NormalWeb"/>
        <w:shd w:val="clear" w:color="auto" w:fill="FFFFFF"/>
        <w:spacing w:before="0" w:beforeAutospacing="0" w:after="0" w:afterAutospacing="0"/>
        <w:jc w:val="both"/>
        <w:rPr>
          <w:color w:val="000000"/>
          <w:shd w:val="clear" w:color="auto" w:fill="FFFFFF"/>
        </w:rPr>
      </w:pPr>
    </w:p>
    <w:p w:rsidR="00D12E6B" w:rsidRPr="00BE0E8C" w:rsidRDefault="00D12E6B" w:rsidP="00D12E6B">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58" w:tgtFrame="_blank" w:history="1">
        <w:r w:rsidRPr="00BE0E8C">
          <w:rPr>
            <w:rStyle w:val="Hyperlink"/>
            <w:shd w:val="clear" w:color="auto" w:fill="FFFFFF"/>
          </w:rPr>
          <w:t>Master Circular FIDD.CO.GSSD.BC.No.03/09.09.001/2019-20 dated July 01, 2019</w:t>
        </w:r>
      </w:hyperlink>
      <w:r w:rsidRPr="00BE0E8C">
        <w:rPr>
          <w:color w:val="000000"/>
          <w:shd w:val="clear" w:color="auto" w:fill="FFFFFF"/>
        </w:rPr>
        <w:t> consolidating guidelines / Instructions / directions issued to banks with regard to providing credit facilities to Scheduled Castes (SCs) and Scheduled Tribes (STs).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Banks should take the following measures to step up their advances to SCs / STs:</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1. Planning Process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1.1 The District Level Consultative Committees formed under the Lead Bank Scheme should continue to be the principal mechanism of co-ordination between banks and development agencies in this regard.</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1.2 The district credit plans formulated by the lead banks should clearly indicate the linkage of credit with employment and development schemes.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1.3 Banks will have to establish closer liaison with the District Industries Centres, which have been set up in different districts for promoting self-employment.</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1.4 At the block level, a certain weightage is to be given to scheduled castes / scheduled tribes in the planning process. Accordingly, the credit planning should be weighted in favour of scheduled castes / scheduled tribes and special bankable schemes suited to members of these communities should be drawn up to ensure their participation in such schemes and larger flow of credit to them for self-employment. It will be necessary for the banks to consider loan proposals of these communities with utmost sympathy and understanding.</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1.5 Banks should periodically review their lending procedures and policies to see that loans are sanctioned in time, are adequate and production-oriented and that they generate incremental income to make them self-liquidating.</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1.6 While 'adopting' villages for intensive lending, villages with sizeable population of these communities may be specially chosen; the alternative of adopting specific localities (bastis) in the concerned villages which have a concentration of these communities could also be considered.</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2. Role of Banks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2.1 Bank staff may help the poor borrowers in filling up the forms and completing other formalities so that they are able to get credit facility within a stipulated period from the date of receipt of applications.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2.2 In order to encourage SC / ST borrowers to take advantage of credit facilities, greater awareness among them about various schemes formulated by banks will have to be created. As a majority of the eligible borrowers would be illiterate persons, publicity through brochures, other literature, etc. will be of limited utility. The more desirable method would be for the field staff of banks to contact such borrowers and explain to them the salient features of the schemes as also the advantages that will accrue. Banks should advise their branches to organize meetings more frequently exclusively for SC / ST beneficiaries to understand their credit needs and to incorporate the same in the credit plan.</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2.3 Circulars issued by RBI / NABARD should be circulated among the staff for compliance.</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 xml:space="preserve">2.4 Banks should not insist on deposits while considering loan applications under Government sponsored poverty alleviation schemes / self-employment programmes from borrowers belonging to SCs / STs. It should also be ensured that applicable subsidy is not held back while releasing the </w:t>
      </w:r>
      <w:r w:rsidRPr="00BE0E8C">
        <w:rPr>
          <w:color w:val="000000"/>
        </w:rPr>
        <w:lastRenderedPageBreak/>
        <w:t>loan component till the full repayment of bank dues. Non-release of subsidy upfront amounts to under-financing and hampers asset creation / income generation.</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2.5 The National Scheduled Tribes Finance &amp; Development Corporation and National Scheduled Castes Finance &amp; Development Corporation have been set up under the administrative control of Ministry of Tribal Affairs and Ministry of Social Justice &amp; Empowerment, respectively. The banks should advise their branches / controlling offices to render all the necessary institutional support to enable the institution to achieve the desired objectives.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2.6 Advances sanctioned to State sponsored organizations of SC / ST, for the specific purpose of purchase and supply of inputs to and / or the marketing of outputs of the beneficiaries viz. artisans, village and cottage industries of these organizations, should be treated as Priority Sector Advances, subject to the condition that the relative advances are exclusively for the purpose of purchase and supply of inputs to and / or marketing of the outputs of beneficiaries of these organizations.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2.7 Rejection of loan applications in respect of SCs / STs should be done at the next higher level instead of at the branch level and reasons of rejection should be clearly indicated.</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3. Role of SC / ST Development Corporations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The Government of India has advised all State Governments that the Scheduled Caste/ Tribes Development Corporations can consider bankable schemes / proposals for bank finance. As regards Collateral Security and / or third-party guarantee for loans, guidelines issued to banks on priority sector lending will apply.</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4. Reservations for SC / ST Beneficiaries under Major Centrally Sponsored Schemes.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There are several major centrally sponsored schemes under which credit is provided by banks and subsidy is received through Government Agencies. Credit flow under these schemes is monitored by RBI. Under each of these, there is a significant reservation / relaxation for the members of the SC / ST communities.</w:t>
      </w:r>
    </w:p>
    <w:p w:rsidR="00D12E6B" w:rsidRPr="00BE0E8C" w:rsidRDefault="00D12E6B" w:rsidP="00D12E6B">
      <w:pPr>
        <w:pStyle w:val="NormalWeb"/>
        <w:numPr>
          <w:ilvl w:val="0"/>
          <w:numId w:val="4"/>
        </w:numPr>
        <w:shd w:val="clear" w:color="auto" w:fill="FFFFFF"/>
        <w:spacing w:before="0" w:beforeAutospacing="0" w:after="0" w:afterAutospacing="0"/>
        <w:jc w:val="both"/>
        <w:rPr>
          <w:color w:val="000000"/>
        </w:rPr>
      </w:pPr>
      <w:r w:rsidRPr="00BE0E8C">
        <w:rPr>
          <w:color w:val="000000"/>
          <w:u w:val="single"/>
        </w:rPr>
        <w:t>Deendayal Antyodaya Yojana - National Rural Livelihoods Mission:</w:t>
      </w:r>
    </w:p>
    <w:p w:rsidR="00D12E6B" w:rsidRPr="00BE0E8C" w:rsidRDefault="00D12E6B" w:rsidP="00D12E6B">
      <w:pPr>
        <w:pStyle w:val="NormalWeb"/>
        <w:shd w:val="clear" w:color="auto" w:fill="FFFFFF"/>
        <w:spacing w:before="0" w:beforeAutospacing="0" w:after="0" w:afterAutospacing="0"/>
        <w:ind w:left="720"/>
        <w:jc w:val="both"/>
        <w:rPr>
          <w:color w:val="000000"/>
        </w:rPr>
      </w:pPr>
      <w:r w:rsidRPr="00BE0E8C">
        <w:rPr>
          <w:color w:val="000000"/>
        </w:rPr>
        <w:t>The Ministry of Rural Development, Government of India has launched Deendayal Antyodaya Yojana-National Rural Livelihoods Mission (DAY-NRLM) by restructuring erstwhile Swarnajayanti Gram Swarozgar Yojana, effective from April 01, 2013. DAY-NRLM would ensure adequate coverage of vulnerable sections of the society such that 50% of these beneficiaries are SC/STs. Details of the scheme are available in the Master Circular on NRLM (</w:t>
      </w:r>
      <w:hyperlink r:id="rId59" w:tgtFrame="_blank" w:history="1">
        <w:r w:rsidRPr="00BE0E8C">
          <w:rPr>
            <w:rStyle w:val="Hyperlink"/>
          </w:rPr>
          <w:t>FIDD.GSSD.CO.BC.No 04/09.01.01/2021-22 dated April 01, 2021</w:t>
        </w:r>
      </w:hyperlink>
      <w:r w:rsidRPr="00BE0E8C">
        <w:rPr>
          <w:color w:val="000000"/>
        </w:rPr>
        <w:t>).</w:t>
      </w:r>
    </w:p>
    <w:p w:rsidR="00D12E6B" w:rsidRPr="00BE0E8C" w:rsidRDefault="00D12E6B" w:rsidP="00D12E6B">
      <w:pPr>
        <w:pStyle w:val="NormalWeb"/>
        <w:numPr>
          <w:ilvl w:val="0"/>
          <w:numId w:val="4"/>
        </w:numPr>
        <w:shd w:val="clear" w:color="auto" w:fill="FFFFFF"/>
        <w:spacing w:before="0" w:beforeAutospacing="0" w:after="0" w:afterAutospacing="0"/>
        <w:jc w:val="both"/>
        <w:rPr>
          <w:color w:val="000000"/>
        </w:rPr>
      </w:pPr>
      <w:r w:rsidRPr="00BE0E8C">
        <w:rPr>
          <w:color w:val="000000"/>
          <w:u w:val="single"/>
        </w:rPr>
        <w:t>Deendayal Antyodaya Yojana - National Urban Livelihoods Mission:</w:t>
      </w:r>
    </w:p>
    <w:p w:rsidR="00D12E6B" w:rsidRPr="00BE0E8C" w:rsidRDefault="00D12E6B" w:rsidP="00D12E6B">
      <w:pPr>
        <w:pStyle w:val="NormalWeb"/>
        <w:shd w:val="clear" w:color="auto" w:fill="FFFFFF"/>
        <w:spacing w:before="0" w:beforeAutospacing="0" w:after="0" w:afterAutospacing="0"/>
        <w:ind w:left="720"/>
        <w:jc w:val="both"/>
        <w:rPr>
          <w:color w:val="000000"/>
        </w:rPr>
      </w:pPr>
      <w:r w:rsidRPr="00BE0E8C">
        <w:rPr>
          <w:color w:val="000000"/>
        </w:rPr>
        <w:t>The Ministry of Housing and Urban Affairs (MoHUA), Government of India, has launched the Deendayal Antyodaya Yojana - National Urban Livelihoods Mission (DAY-NULM) by restructuring erstwhile Swarna Jayanti Shahari Rozgar Yojana (SJSRY), effective from September 24, 2013, Under DAY-NULM, advances should be extended to SCs / STs to the extent of their strength in the local population. Details of the scheme are available in the Master Circular on DAY-NULM (</w:t>
      </w:r>
      <w:hyperlink r:id="rId60" w:tgtFrame="_blank" w:history="1">
        <w:r w:rsidRPr="00BE0E8C">
          <w:rPr>
            <w:rStyle w:val="Hyperlink"/>
          </w:rPr>
          <w:t>FIDD.GSSD.CO.BC.No.03/09.16.03/2021-22 dated April 05, 2021</w:t>
        </w:r>
      </w:hyperlink>
      <w:r w:rsidRPr="00BE0E8C">
        <w:rPr>
          <w:color w:val="000000"/>
        </w:rPr>
        <w:t>).</w:t>
      </w:r>
    </w:p>
    <w:p w:rsidR="00D12E6B" w:rsidRPr="00BE0E8C" w:rsidRDefault="00D12E6B" w:rsidP="00D12E6B">
      <w:pPr>
        <w:pStyle w:val="NormalWeb"/>
        <w:numPr>
          <w:ilvl w:val="0"/>
          <w:numId w:val="4"/>
        </w:numPr>
        <w:shd w:val="clear" w:color="auto" w:fill="FFFFFF"/>
        <w:spacing w:before="0" w:beforeAutospacing="0" w:after="0" w:afterAutospacing="0"/>
        <w:jc w:val="both"/>
        <w:rPr>
          <w:color w:val="000000"/>
        </w:rPr>
      </w:pPr>
      <w:r w:rsidRPr="00BE0E8C">
        <w:rPr>
          <w:color w:val="000000"/>
          <w:u w:val="single"/>
        </w:rPr>
        <w:t>Differential Rate of Interest Scheme</w:t>
      </w:r>
    </w:p>
    <w:p w:rsidR="00D12E6B" w:rsidRPr="00BE0E8C" w:rsidRDefault="00D12E6B" w:rsidP="00D12E6B">
      <w:pPr>
        <w:pStyle w:val="NormalWeb"/>
        <w:shd w:val="clear" w:color="auto" w:fill="FFFFFF"/>
        <w:spacing w:before="0" w:beforeAutospacing="0" w:after="0" w:afterAutospacing="0"/>
        <w:ind w:left="720"/>
        <w:jc w:val="both"/>
        <w:rPr>
          <w:color w:val="000000"/>
        </w:rPr>
      </w:pPr>
      <w:r w:rsidRPr="00BE0E8C">
        <w:rPr>
          <w:color w:val="000000"/>
        </w:rPr>
        <w:t xml:space="preserve">Under the DRI Scheme, banks provide finance up to ₹15,000/- at a concessional rate of interest of 4 percent per annum to the weaker sections of the community for engaging in productive and gainful activities. In order to ensure that persons belonging to SCs / STs also derive adequate benefit under the Differential Rate of Interest (DRI) Scheme, banks </w:t>
      </w:r>
      <w:r w:rsidRPr="00BE0E8C">
        <w:rPr>
          <w:color w:val="000000"/>
        </w:rPr>
        <w:lastRenderedPageBreak/>
        <w:t>have been advised to grant to eligible borrowers belonging to SCs / STs such advances to the extent of not less than 2/5th (40 percent) of total DRI advances. Further, the eligibility criteria under DRI that size of land holding should not exceed 1 acre of irrigated land and 2.5 acres of unirrigated land are not applicable to SCs / STs. Members of SCs / STs satisfying the income criteria of the scheme can also avail of housing loan up to ₹20,000/- per beneficiary over and above the individual loan of ₹15,000/- available under the scheme.</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5. Credit Enhancement Guarantee Scheme for Scheduled Castes (CEGSSC)</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The CEGSSC was launched by Ministry of Social Justice &amp; Empowerment on 6th May, 2015 with the objective to promote entrepreneurship amongst the Scheduled Castes (SCs), by providing Credit Enhancement Guarantee to Member Lending Institutions (MLIs), who shall be providing financial assistance to these entrepreneurs. IFCI Ltd. has been designated as the Nodal Agency under the scheme, to issue the guarantee cover in favour of MLIs, who shall be encouraged to finance SCs entrepreneurs to boost entrepreneurship amongst the marginal strata of the society.</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Eligibility: Registered Companies and Societies/Registered Partnership Firms/Sole Proprietorship firms/Individual SC Entrepreneur having more than 51% shareholding by SC entrepreneurs/promoters/members with the management control for the past 6 months are eligible for guarantee from IFCI Ltd. against the loans extended by MLIs Bank / Institutions.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Amount of Guarantee cover under CEGSSC- Min ₹ 0.15 Cr. &amp; Max. ₹ 5.00 Cr</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Tenure of Guarantee – Max. 7 years or repayment period whichever is earlier.</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6. Monitoring and Review</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6.1 A special cell should be set up at the Head Office of banks for monitoring the flow of credit to SC / ST beneficiaries. Apart from ensuring the implementation of the RBI guidelines, the cell would also be responsible for collection of relevant information / data from the branches, consolidation thereof and submission of the requisite returns to RBI and Government.</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6.2 SLBC convenor Bank should invite the representative of National Commission for SCs / STs to attend SLBC meetings. Besides, the Convener bank may also invite representatives from National Scheduled Castes and Scheduled Tribes Finance and Development Corporation (NSFDC) and State Scheduled Castes and Scheduled Tribes Finance and Development Corporation (SCDC) to attend SLBC meetings.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6.3 A periodical review should be made by the Head Office of banks of the credit extended to SCs / STs on the basis of returns and other data received from the branches.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6.4 Bank should review the measures taken to enhance the flow of credit to SC / ST borrowers on a quarterly basis. The Review should also consider the progress made in lending to these communities directly or through the State Level Scheduled Caste / Scheduled Tribe Corporations for various purposes based, amongst others, on field visits of the senior officers from the Head Office / Controlling Offices. Any major gap or variation in credit flow to SC/ST on a year to year basis should be reported to Board of the Bank for review under the themes of “Financial Inclusion” in term of </w:t>
      </w:r>
      <w:hyperlink r:id="rId61" w:tgtFrame="_blank" w:history="1">
        <w:r w:rsidRPr="00BE0E8C">
          <w:rPr>
            <w:rStyle w:val="Hyperlink"/>
          </w:rPr>
          <w:t>circular DBR No.BC.93/29.67.001/2014-15 dated May14, 2015</w:t>
        </w:r>
      </w:hyperlink>
      <w:r w:rsidRPr="00BE0E8C">
        <w:rPr>
          <w:color w:val="000000"/>
        </w:rPr>
        <w:t>.</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Data on advances to SCs and STs should be reported as prescribed in Master Direction under Priority sector lending vide </w:t>
      </w:r>
      <w:hyperlink r:id="rId62" w:tgtFrame="_blank" w:history="1">
        <w:r w:rsidRPr="00BE0E8C">
          <w:rPr>
            <w:rStyle w:val="Hyperlink"/>
          </w:rPr>
          <w:t>Master Direction FIDD.CO.Plan.5/04.09.01/2020-21 dated September 04, 2020</w:t>
        </w:r>
      </w:hyperlink>
      <w:r w:rsidRPr="00BE0E8C">
        <w:rPr>
          <w:color w:val="000000"/>
        </w:rPr>
        <w:t>. Banks are advised to submit the same in a timely manner.</w:t>
      </w:r>
    </w:p>
    <w:p w:rsidR="00D12E6B" w:rsidRPr="00BE0E8C" w:rsidRDefault="00D12E6B" w:rsidP="00D12E6B">
      <w:pPr>
        <w:pStyle w:val="NormalWeb"/>
        <w:shd w:val="clear" w:color="auto" w:fill="FFFFFF"/>
        <w:spacing w:before="0" w:beforeAutospacing="0" w:after="0" w:afterAutospacing="0"/>
        <w:jc w:val="both"/>
        <w:rPr>
          <w:color w:val="000000"/>
        </w:rPr>
      </w:pPr>
    </w:p>
    <w:p w:rsidR="00D12E6B" w:rsidRPr="00BE0E8C" w:rsidRDefault="00D12E6B" w:rsidP="00D12E6B">
      <w:pPr>
        <w:pStyle w:val="NormalWeb"/>
        <w:pBdr>
          <w:bottom w:val="single" w:sz="12" w:space="1" w:color="auto"/>
        </w:pBdr>
        <w:shd w:val="clear" w:color="auto" w:fill="FFFFFF"/>
        <w:spacing w:before="0" w:beforeAutospacing="0" w:after="0" w:afterAutospacing="0"/>
        <w:jc w:val="both"/>
        <w:rPr>
          <w:color w:val="000000"/>
        </w:rPr>
      </w:pPr>
      <w:hyperlink r:id="rId63" w:history="1">
        <w:r w:rsidRPr="00BE0E8C">
          <w:rPr>
            <w:rStyle w:val="Hyperlink"/>
          </w:rPr>
          <w:t>https://www.rbi.org.in/Scripts/NotificationUser.aspx?Id=12065&amp;Mode=0</w:t>
        </w:r>
      </w:hyperlink>
    </w:p>
    <w:p w:rsidR="00D12E6B" w:rsidRPr="00BE0E8C" w:rsidRDefault="00D12E6B" w:rsidP="00D12E6B">
      <w:pPr>
        <w:pStyle w:val="NormalWeb"/>
        <w:shd w:val="clear" w:color="auto" w:fill="FFFFFF"/>
        <w:spacing w:before="0" w:beforeAutospacing="0" w:after="0" w:afterAutospacing="0"/>
        <w:jc w:val="both"/>
        <w:rPr>
          <w:b/>
          <w:bCs/>
          <w:color w:val="000000"/>
        </w:rPr>
      </w:pPr>
      <w:r>
        <w:rPr>
          <w:b/>
          <w:color w:val="000000"/>
        </w:rPr>
        <w:t>19.</w:t>
      </w:r>
      <w:r w:rsidRPr="00D12E6B">
        <w:rPr>
          <w:b/>
          <w:bCs/>
          <w:color w:val="000000"/>
        </w:rPr>
        <w:t xml:space="preserve"> </w:t>
      </w:r>
      <w:r w:rsidRPr="00BE0E8C">
        <w:rPr>
          <w:b/>
          <w:bCs/>
          <w:color w:val="000000"/>
        </w:rPr>
        <w:t>Master Direction - Reserve Bank of India (Call, Notice and Term Money Markets) Directions, 2021</w:t>
      </w:r>
    </w:p>
    <w:p w:rsidR="00D12E6B" w:rsidRPr="00BE0E8C" w:rsidRDefault="00D12E6B" w:rsidP="00D12E6B">
      <w:pPr>
        <w:pStyle w:val="NormalWeb"/>
        <w:shd w:val="clear" w:color="auto" w:fill="FFFFFF"/>
        <w:spacing w:before="0" w:beforeAutospacing="0" w:after="0" w:afterAutospacing="0"/>
        <w:jc w:val="both"/>
        <w:rPr>
          <w:b/>
          <w:bCs/>
          <w:color w:val="000000"/>
        </w:rPr>
      </w:pPr>
    </w:p>
    <w:p w:rsidR="00D12E6B" w:rsidRPr="00BE0E8C" w:rsidRDefault="00D12E6B" w:rsidP="00D12E6B">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D12E6B" w:rsidRPr="00BE0E8C" w:rsidRDefault="00D12E6B" w:rsidP="00D12E6B">
      <w:pPr>
        <w:pStyle w:val="NormalWeb"/>
        <w:shd w:val="clear" w:color="auto" w:fill="FFFFFF"/>
        <w:spacing w:before="0" w:beforeAutospacing="0" w:after="0" w:afterAutospacing="0"/>
        <w:jc w:val="both"/>
        <w:rPr>
          <w:i/>
          <w:color w:val="000000"/>
          <w:shd w:val="clear" w:color="auto" w:fill="FFFFFF"/>
        </w:rPr>
      </w:pPr>
    </w:p>
    <w:p w:rsidR="00D12E6B" w:rsidRPr="00BE0E8C" w:rsidRDefault="00D12E6B" w:rsidP="00D12E6B">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Eligible Market Participants</w:t>
      </w:r>
    </w:p>
    <w:p w:rsidR="00D12E6B" w:rsidRPr="00BE0E8C" w:rsidRDefault="00D12E6B" w:rsidP="00D12E6B">
      <w:pPr>
        <w:pStyle w:val="NormalWeb"/>
        <w:shd w:val="clear" w:color="auto" w:fill="FFFFFF"/>
        <w:spacing w:before="0" w:beforeAutospacing="0" w:after="0" w:afterAutospacing="0"/>
        <w:jc w:val="both"/>
        <w:rPr>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64" w:tgtFrame="_blank" w:history="1">
        <w:r w:rsidRPr="00BE0E8C">
          <w:rPr>
            <w:rStyle w:val="Hyperlink"/>
          </w:rPr>
          <w:t>Statement on Developmental and Regulatory Policies, Reserve Bank of India</w:t>
        </w:r>
      </w:hyperlink>
      <w:r w:rsidRPr="00BE0E8C">
        <w:rPr>
          <w:color w:val="000000"/>
        </w:rPr>
        <w:t>, issued as part of the </w:t>
      </w:r>
      <w:hyperlink r:id="rId65" w:tgtFrame="_blank" w:history="1">
        <w:r w:rsidRPr="00BE0E8C">
          <w:rPr>
            <w:rStyle w:val="Hyperlink"/>
          </w:rPr>
          <w:t>second Bi-monthly Monetary Policy Statement for 2019-20 dated June 06, 2019</w:t>
        </w:r>
      </w:hyperlink>
      <w:r w:rsidRPr="00BE0E8C">
        <w:rPr>
          <w:color w:val="000000"/>
        </w:rPr>
        <w:t> regarding Comprehensive Review of Money Market Directions.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66" w:anchor="ANN" w:history="1">
        <w:r w:rsidRPr="00BE0E8C">
          <w:rPr>
            <w:rStyle w:val="Hyperlink"/>
          </w:rPr>
          <w:t>Directions</w:t>
        </w:r>
      </w:hyperlink>
      <w:r w:rsidRPr="00BE0E8C">
        <w:rPr>
          <w:color w:val="000000"/>
        </w:rPr>
        <w:t> are enclosed herewith.</w:t>
      </w:r>
    </w:p>
    <w:p w:rsidR="00D12E6B" w:rsidRPr="00BE0E8C" w:rsidRDefault="00D12E6B" w:rsidP="00D12E6B">
      <w:pPr>
        <w:pStyle w:val="NormalWeb"/>
        <w:shd w:val="clear" w:color="auto" w:fill="FFFFFF"/>
        <w:spacing w:before="0" w:beforeAutospacing="0" w:after="0" w:afterAutospacing="0"/>
        <w:jc w:val="both"/>
        <w:rPr>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67" w:tgtFrame="_blank" w:history="1">
        <w:r w:rsidRPr="00BE0E8C">
          <w:rPr>
            <w:rStyle w:val="Hyperlink"/>
          </w:rPr>
          <w:t>FMRD Master Direction No. 2/2016-17 dated July 07, 2016</w:t>
        </w:r>
      </w:hyperlink>
      <w:r w:rsidRPr="00BE0E8C">
        <w:rPr>
          <w:color w:val="000000"/>
        </w:rPr>
        <w:t>, Direction No. </w:t>
      </w:r>
      <w:hyperlink r:id="rId68" w:tgtFrame="_blank" w:history="1">
        <w:r w:rsidRPr="00BE0E8C">
          <w:rPr>
            <w:rStyle w:val="Hyperlink"/>
          </w:rPr>
          <w:t>FMRD.DIRD.09/14.01.001/2018-19 dated October 29, 2018</w:t>
        </w:r>
      </w:hyperlink>
      <w:r w:rsidRPr="00BE0E8C">
        <w:rPr>
          <w:color w:val="000000"/>
        </w:rPr>
        <w:t> and Direction No. </w:t>
      </w:r>
      <w:hyperlink r:id="rId69" w:tgtFrame="_blank" w:history="1">
        <w:r w:rsidRPr="00BE0E8C">
          <w:rPr>
            <w:rStyle w:val="Hyperlink"/>
          </w:rPr>
          <w:t>FMRD.DIRD.01/14.01.001/2020-21 dated December 04, 2020</w:t>
        </w:r>
      </w:hyperlink>
      <w:r w:rsidRPr="00BE0E8C">
        <w:rPr>
          <w:color w:val="000000"/>
        </w:rPr>
        <w:t>, the Reserve Bank of India (hereinafter called the Reserve Bank), hereby issues the following Directions to all persons and agencies eligible to deal in Call, Notice and Term Money Markets.</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D12E6B" w:rsidRPr="00BE0E8C" w:rsidRDefault="00D12E6B" w:rsidP="00D12E6B">
      <w:pPr>
        <w:pStyle w:val="head"/>
        <w:shd w:val="clear" w:color="auto" w:fill="FFFFFF"/>
        <w:spacing w:before="0" w:beforeAutospacing="0" w:after="0" w:afterAutospacing="0"/>
        <w:jc w:val="both"/>
        <w:rPr>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2. Definitions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(ja), (da) and (nc), of section 5 respectively thereof, or a “cooperative bank” as defined in clause (cci) of section 5 read with section 56 of the said Act;</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“Electronic Trading Platform” or “ETP”</w:t>
      </w:r>
      <w:r w:rsidRPr="00BE0E8C">
        <w:rPr>
          <w:color w:val="000000"/>
        </w:rPr>
        <w:t> shall have the meaning assigned in paragraph 2 (1) (iii) of </w:t>
      </w:r>
      <w:hyperlink r:id="rId70" w:tgtFrame="_blank" w:history="1">
        <w:r w:rsidRPr="00BE0E8C">
          <w:rPr>
            <w:rStyle w:val="Hyperlink"/>
          </w:rPr>
          <w:t>the Electronic Trading Platform (Reserve Bank) Directions, 2018 dated October 05, 2018</w:t>
        </w:r>
      </w:hyperlink>
      <w:r w:rsidRPr="00BE0E8C">
        <w:rPr>
          <w:color w:val="000000"/>
        </w:rPr>
        <w:t>, as modified from time to time;</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lastRenderedPageBreak/>
        <w:t>“Fortnight”</w:t>
      </w:r>
      <w:r w:rsidRPr="00BE0E8C">
        <w:rPr>
          <w:color w:val="000000"/>
        </w:rPr>
        <w:t> shall have the meaning assigned to it under section 42 of the Reserve Bank of India Act, 1934;</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“Negotiated Dealing System-CALL” or “NDS-CALL”</w:t>
      </w:r>
      <w:r w:rsidRPr="00BE0E8C">
        <w:rPr>
          <w:color w:val="000000"/>
        </w:rPr>
        <w:t> is the electronic trading platform for execution and reporting of transactions in Call, Notice and Term Money Markets;</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“Over-the-Counter markets” or “OTC markets”</w:t>
      </w:r>
      <w:r w:rsidRPr="00BE0E8C">
        <w:rPr>
          <w:color w:val="000000"/>
        </w:rPr>
        <w:t> refers to markets where transactions are undertaken in any manner other than on exchanges and shall include those executed on electronic trading platforms;</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71" w:tgtFrame="_blank" w:history="1">
        <w:r w:rsidRPr="00BE0E8C">
          <w:rPr>
            <w:rStyle w:val="Hyperlink"/>
          </w:rPr>
          <w:t>Guidelines for Licensing of Payments Banks” dated November 27, 2014</w:t>
        </w:r>
      </w:hyperlink>
      <w:r w:rsidRPr="00BE0E8C">
        <w:rPr>
          <w:color w:val="000000"/>
        </w:rPr>
        <w:t>, as amended from time to time;</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72" w:tgtFrame="_blank" w:history="1">
        <w:r w:rsidRPr="00BE0E8C">
          <w:rPr>
            <w:rStyle w:val="Hyperlink"/>
          </w:rPr>
          <w:t>Guidelines for Licensing of Small Finance Banks” dated November 27, 2014</w:t>
        </w:r>
      </w:hyperlink>
      <w:r w:rsidRPr="00BE0E8C">
        <w:rPr>
          <w:color w:val="000000"/>
        </w:rPr>
        <w:t>, as amended from time to time;</w:t>
      </w:r>
    </w:p>
    <w:p w:rsidR="00D12E6B" w:rsidRPr="00BE0E8C" w:rsidRDefault="00D12E6B" w:rsidP="00D12E6B">
      <w:pPr>
        <w:pStyle w:val="NormalWeb"/>
        <w:numPr>
          <w:ilvl w:val="0"/>
          <w:numId w:val="5"/>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Words and expressions used but not defined in these Directions shall have the meaning assigned to them in the Reserve Bank of India Act, 1934.</w:t>
      </w:r>
    </w:p>
    <w:p w:rsidR="00D12E6B" w:rsidRDefault="00D12E6B" w:rsidP="00D12E6B">
      <w:pPr>
        <w:pStyle w:val="NormalWeb"/>
        <w:shd w:val="clear" w:color="auto" w:fill="FFFFFF"/>
        <w:spacing w:before="0" w:beforeAutospacing="0" w:after="0" w:afterAutospacing="0"/>
        <w:jc w:val="both"/>
        <w:rPr>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3. Participants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D12E6B" w:rsidRPr="00BE0E8C" w:rsidRDefault="00D12E6B" w:rsidP="00D12E6B">
      <w:pPr>
        <w:pStyle w:val="NormalWeb"/>
        <w:numPr>
          <w:ilvl w:val="0"/>
          <w:numId w:val="6"/>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D12E6B" w:rsidRPr="00BE0E8C" w:rsidRDefault="00D12E6B" w:rsidP="00D12E6B">
      <w:pPr>
        <w:pStyle w:val="NormalWeb"/>
        <w:numPr>
          <w:ilvl w:val="0"/>
          <w:numId w:val="6"/>
        </w:numPr>
        <w:shd w:val="clear" w:color="auto" w:fill="FFFFFF"/>
        <w:spacing w:before="0" w:beforeAutospacing="0" w:after="0" w:afterAutospacing="0"/>
        <w:jc w:val="both"/>
        <w:rPr>
          <w:color w:val="000000"/>
        </w:rPr>
      </w:pPr>
      <w:r w:rsidRPr="00BE0E8C">
        <w:rPr>
          <w:color w:val="000000"/>
        </w:rPr>
        <w:t>Payment Banks;</w:t>
      </w:r>
    </w:p>
    <w:p w:rsidR="00D12E6B" w:rsidRPr="00BE0E8C" w:rsidRDefault="00D12E6B" w:rsidP="00D12E6B">
      <w:pPr>
        <w:pStyle w:val="NormalWeb"/>
        <w:numPr>
          <w:ilvl w:val="0"/>
          <w:numId w:val="6"/>
        </w:numPr>
        <w:shd w:val="clear" w:color="auto" w:fill="FFFFFF"/>
        <w:spacing w:before="0" w:beforeAutospacing="0" w:after="0" w:afterAutospacing="0"/>
        <w:jc w:val="both"/>
        <w:rPr>
          <w:color w:val="000000"/>
        </w:rPr>
      </w:pPr>
      <w:r w:rsidRPr="00BE0E8C">
        <w:rPr>
          <w:color w:val="000000"/>
        </w:rPr>
        <w:t>Small Finance Banks;</w:t>
      </w:r>
    </w:p>
    <w:p w:rsidR="00D12E6B" w:rsidRPr="00BE0E8C" w:rsidRDefault="00D12E6B" w:rsidP="00D12E6B">
      <w:pPr>
        <w:pStyle w:val="NormalWeb"/>
        <w:numPr>
          <w:ilvl w:val="0"/>
          <w:numId w:val="6"/>
        </w:numPr>
        <w:shd w:val="clear" w:color="auto" w:fill="FFFFFF"/>
        <w:spacing w:before="0" w:beforeAutospacing="0" w:after="0" w:afterAutospacing="0"/>
        <w:jc w:val="both"/>
        <w:rPr>
          <w:color w:val="000000"/>
        </w:rPr>
      </w:pPr>
      <w:r w:rsidRPr="00BE0E8C">
        <w:rPr>
          <w:color w:val="000000"/>
        </w:rPr>
        <w:t>Regional Rural Banks;</w:t>
      </w:r>
    </w:p>
    <w:p w:rsidR="00D12E6B" w:rsidRPr="00BE0E8C" w:rsidRDefault="00D12E6B" w:rsidP="00D12E6B">
      <w:pPr>
        <w:pStyle w:val="NormalWeb"/>
        <w:numPr>
          <w:ilvl w:val="0"/>
          <w:numId w:val="6"/>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D12E6B" w:rsidRPr="00BE0E8C" w:rsidRDefault="00D12E6B" w:rsidP="00D12E6B">
      <w:pPr>
        <w:pStyle w:val="NormalWeb"/>
        <w:numPr>
          <w:ilvl w:val="0"/>
          <w:numId w:val="6"/>
        </w:numPr>
        <w:shd w:val="clear" w:color="auto" w:fill="FFFFFF"/>
        <w:spacing w:before="0" w:beforeAutospacing="0" w:after="0" w:afterAutospacing="0"/>
        <w:jc w:val="both"/>
        <w:rPr>
          <w:color w:val="000000"/>
        </w:rPr>
      </w:pPr>
      <w:r w:rsidRPr="00BE0E8C">
        <w:rPr>
          <w:color w:val="000000"/>
        </w:rPr>
        <w:t>Primary Dealers.</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4. Prudential limits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Prudential limits in respect of outstanding lending transactions in the Call, Notice and Term Money Markets shall be decided by the participants with the approval of their Board within the regulatory framework of the exposure norms prescribed by the Department of Regulation of the Reserve Bank for the eligible participant concerned.</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Prudential limits for outstanding borrowing transactions in the Call, Notice and Term Money Markets are set out in </w:t>
      </w:r>
      <w:hyperlink r:id="rId73" w:anchor="T1" w:history="1">
        <w:r w:rsidRPr="00BE0E8C">
          <w:rPr>
            <w:rStyle w:val="Hyperlink"/>
          </w:rPr>
          <w:t>Table 1</w:t>
        </w:r>
      </w:hyperlink>
      <w:r w:rsidRPr="00BE0E8C">
        <w:rPr>
          <w:color w:val="000000"/>
        </w:rPr>
        <w:t>.</w:t>
      </w:r>
    </w:p>
    <w:p w:rsidR="00D12E6B" w:rsidRPr="00BE0E8C" w:rsidRDefault="00D12E6B" w:rsidP="00D12E6B">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3338"/>
        <w:gridCol w:w="4053"/>
      </w:tblGrid>
      <w:tr w:rsidR="00D12E6B" w:rsidRPr="00BE0E8C" w:rsidTr="006A1807">
        <w:trPr>
          <w:jc w:val="center"/>
        </w:trPr>
        <w:tc>
          <w:tcPr>
            <w:tcW w:w="0" w:type="auto"/>
            <w:gridSpan w:val="3"/>
            <w:tcMar>
              <w:top w:w="0" w:type="dxa"/>
              <w:left w:w="45" w:type="dxa"/>
              <w:bottom w:w="0" w:type="dxa"/>
              <w:right w:w="45" w:type="dxa"/>
            </w:tcMar>
            <w:vAlign w:val="center"/>
            <w:hideMark/>
          </w:tcPr>
          <w:p w:rsidR="00D12E6B" w:rsidRPr="00BE0E8C" w:rsidRDefault="00D12E6B" w:rsidP="006A1807">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lastRenderedPageBreak/>
              <w:t>Table 1: Prudential limits for outstanding borrowing transactions in Call, Notice and Term Money Markets</w:t>
            </w:r>
          </w:p>
        </w:tc>
      </w:tr>
      <w:tr w:rsidR="00D12E6B" w:rsidRPr="00BE0E8C" w:rsidTr="006A1807">
        <w:trPr>
          <w:jc w:val="center"/>
        </w:trPr>
        <w:tc>
          <w:tcPr>
            <w:tcW w:w="350" w:type="pct"/>
            <w:tcMar>
              <w:top w:w="0" w:type="dxa"/>
              <w:left w:w="45" w:type="dxa"/>
              <w:bottom w:w="0" w:type="dxa"/>
              <w:right w:w="45" w:type="dxa"/>
            </w:tcMar>
            <w:vAlign w:val="center"/>
            <w:hideMark/>
          </w:tcPr>
          <w:p w:rsidR="00D12E6B" w:rsidRPr="00BE0E8C" w:rsidRDefault="00D12E6B" w:rsidP="006A1807">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D12E6B" w:rsidRPr="00BE0E8C" w:rsidRDefault="00D12E6B" w:rsidP="006A1807">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D12E6B" w:rsidRPr="00BE0E8C" w:rsidRDefault="00D12E6B" w:rsidP="006A1807">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D12E6B" w:rsidRPr="00BE0E8C" w:rsidTr="006A1807">
        <w:trPr>
          <w:jc w:val="center"/>
        </w:trPr>
        <w:tc>
          <w:tcPr>
            <w:tcW w:w="0" w:type="auto"/>
            <w:tcMar>
              <w:top w:w="0" w:type="dxa"/>
              <w:left w:w="45" w:type="dxa"/>
              <w:bottom w:w="0" w:type="dxa"/>
              <w:right w:w="45" w:type="dxa"/>
            </w:tcMar>
            <w:hideMark/>
          </w:tcPr>
          <w:p w:rsidR="00D12E6B" w:rsidRPr="00BE0E8C" w:rsidRDefault="00D12E6B"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D12E6B" w:rsidRPr="00BE0E8C" w:rsidRDefault="00D12E6B"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D12E6B" w:rsidRPr="00BE0E8C" w:rsidRDefault="00D12E6B" w:rsidP="006A1807">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D12E6B" w:rsidRPr="00BE0E8C" w:rsidRDefault="00D12E6B" w:rsidP="006A1807">
            <w:pPr>
              <w:pStyle w:val="NormalWeb"/>
              <w:spacing w:before="0" w:beforeAutospacing="0" w:after="0" w:afterAutospacing="0"/>
              <w:jc w:val="both"/>
              <w:rPr>
                <w:color w:val="000000"/>
              </w:rPr>
            </w:pPr>
            <w:r w:rsidRPr="00BE0E8C">
              <w:rPr>
                <w:color w:val="000000"/>
              </w:rPr>
              <w:t>(ii) 125% of capital funds on any given day.</w:t>
            </w:r>
          </w:p>
        </w:tc>
      </w:tr>
      <w:tr w:rsidR="00D12E6B" w:rsidRPr="00BE0E8C" w:rsidTr="006A1807">
        <w:trPr>
          <w:jc w:val="center"/>
        </w:trPr>
        <w:tc>
          <w:tcPr>
            <w:tcW w:w="0" w:type="auto"/>
            <w:tcMar>
              <w:top w:w="0" w:type="dxa"/>
              <w:left w:w="45" w:type="dxa"/>
              <w:bottom w:w="0" w:type="dxa"/>
              <w:right w:w="45" w:type="dxa"/>
            </w:tcMar>
            <w:hideMark/>
          </w:tcPr>
          <w:p w:rsidR="00D12E6B" w:rsidRPr="00BE0E8C" w:rsidRDefault="00D12E6B"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D12E6B" w:rsidRPr="00BE0E8C" w:rsidRDefault="00D12E6B"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D12E6B" w:rsidRPr="00BE0E8C" w:rsidRDefault="00D12E6B" w:rsidP="006A1807">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D12E6B" w:rsidRPr="00BE0E8C" w:rsidTr="006A1807">
        <w:trPr>
          <w:jc w:val="center"/>
        </w:trPr>
        <w:tc>
          <w:tcPr>
            <w:tcW w:w="0" w:type="auto"/>
            <w:tcMar>
              <w:top w:w="0" w:type="dxa"/>
              <w:left w:w="45" w:type="dxa"/>
              <w:bottom w:w="0" w:type="dxa"/>
              <w:right w:w="45" w:type="dxa"/>
            </w:tcMar>
            <w:hideMark/>
          </w:tcPr>
          <w:p w:rsidR="00D12E6B" w:rsidRPr="00BE0E8C" w:rsidRDefault="00D12E6B" w:rsidP="006A1807">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D12E6B" w:rsidRPr="00BE0E8C" w:rsidRDefault="00D12E6B" w:rsidP="006A1807">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D12E6B" w:rsidRPr="00BE0E8C" w:rsidRDefault="00D12E6B" w:rsidP="006A1807">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Clearcorp Dealing System Ltd., or any other NDS-CALL system operator authorised by the Reserve Bank for setting of limits in the NDS-CALL platform, under advice to the Financial Markets Regulation Department (FMRD) of the Reserve Bank through </w:t>
      </w:r>
      <w:hyperlink r:id="rId74" w:tgtFrame="_blank" w:history="1">
        <w:r w:rsidRPr="00BE0E8C">
          <w:rPr>
            <w:rStyle w:val="Hyperlink"/>
          </w:rPr>
          <w:t>e-mail</w:t>
        </w:r>
      </w:hyperlink>
      <w:r w:rsidRPr="00BE0E8C">
        <w:rPr>
          <w:color w:val="000000"/>
        </w:rPr>
        <w:t>.</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5. General guidelines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xml:space="preserve"> All Call, Notice or Term Money transactions, other than those executed on NDS-CALL platform, shall be reported to the NDS-CALL platform within 15 minutes of execution (the time when interest rate is agreed), by both counterparties to the transaction or by the Electronic Trading </w:t>
      </w:r>
      <w:r w:rsidRPr="00BE0E8C">
        <w:rPr>
          <w:color w:val="000000"/>
        </w:rPr>
        <w:lastRenderedPageBreak/>
        <w:t>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Any misreporting or multiple reporting of the same OTC markets deal by a counterparty shall be immediately brought to the notice of the Clearcorp Dealing System Ltd., or any other NDS-CALL system operator authorised by the Reserve Bank and also to the Financial Markets Regulation Department, Reserve Bank of India, Central Office, Fort, Mumbai, through </w:t>
      </w:r>
      <w:hyperlink r:id="rId75" w:history="1">
        <w:r w:rsidRPr="00BE0E8C">
          <w:rPr>
            <w:rStyle w:val="Hyperlink"/>
          </w:rPr>
          <w:t>email</w:t>
        </w:r>
      </w:hyperlink>
      <w:r w:rsidRPr="00BE0E8C">
        <w:rPr>
          <w:color w:val="000000"/>
        </w:rPr>
        <w:t>.</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one month at a time, after providing reasonable opportunity to the person or agency to defend its actions, and such action may be made public by the Reserve Bank.</w:t>
      </w:r>
    </w:p>
    <w:p w:rsidR="00D12E6B" w:rsidRPr="00BE0E8C" w:rsidRDefault="00D12E6B" w:rsidP="00D12E6B">
      <w:pPr>
        <w:pStyle w:val="NormalWeb"/>
        <w:shd w:val="clear" w:color="auto" w:fill="FFFFFF"/>
        <w:spacing w:before="0" w:beforeAutospacing="0" w:after="0" w:afterAutospacing="0"/>
        <w:jc w:val="both"/>
        <w:rPr>
          <w:rStyle w:val="head1"/>
          <w:b/>
          <w:bCs/>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76" w:tgtFrame="_blank" w:history="1">
        <w:r w:rsidRPr="00BE0E8C">
          <w:rPr>
            <w:rStyle w:val="Hyperlink"/>
          </w:rPr>
          <w:t>FMRD Master Direction No. 2/2016-17 dated July 07, 2016</w:t>
        </w:r>
      </w:hyperlink>
      <w:r w:rsidRPr="00BE0E8C">
        <w:rPr>
          <w:color w:val="000000"/>
        </w:rPr>
        <w:t>; Direction No. </w:t>
      </w:r>
      <w:hyperlink r:id="rId77" w:tgtFrame="_blank" w:history="1">
        <w:r w:rsidRPr="00BE0E8C">
          <w:rPr>
            <w:rStyle w:val="Hyperlink"/>
          </w:rPr>
          <w:t>FMRD.DIRD.09/14.01.001/2018-19 dated October 29, 2018</w:t>
        </w:r>
      </w:hyperlink>
      <w:r w:rsidRPr="00BE0E8C">
        <w:rPr>
          <w:color w:val="000000"/>
        </w:rPr>
        <w:t> and Direction No. </w:t>
      </w:r>
      <w:hyperlink r:id="rId78" w:tgtFrame="_blank" w:history="1">
        <w:r w:rsidRPr="00BE0E8C">
          <w:rPr>
            <w:rStyle w:val="Hyperlink"/>
          </w:rPr>
          <w:t>FMRD.DIRD.01/14.01.001/2020-21 dated December 04, 2020</w:t>
        </w:r>
      </w:hyperlink>
      <w:r w:rsidRPr="00BE0E8C">
        <w:rPr>
          <w:color w:val="000000"/>
        </w:rPr>
        <w:t>, shall continue to be applicable to transactions undertaken in accordance with the said Directions till the expiry of those contracts.</w:t>
      </w:r>
    </w:p>
    <w:p w:rsidR="00D12E6B" w:rsidRDefault="00D12E6B" w:rsidP="00D12E6B">
      <w:pPr>
        <w:pStyle w:val="NormalWeb"/>
        <w:pBdr>
          <w:bottom w:val="single" w:sz="12" w:space="1" w:color="auto"/>
        </w:pBdr>
        <w:shd w:val="clear" w:color="auto" w:fill="FFFFFF"/>
        <w:spacing w:before="0" w:beforeAutospacing="0" w:after="0" w:afterAutospacing="0"/>
        <w:jc w:val="both"/>
      </w:pPr>
    </w:p>
    <w:p w:rsidR="00EB42E1" w:rsidRPr="00BE0E8C" w:rsidRDefault="00D12E6B" w:rsidP="00D12E6B">
      <w:pPr>
        <w:pStyle w:val="NormalWeb"/>
        <w:shd w:val="clear" w:color="auto" w:fill="FFFFFF"/>
        <w:spacing w:before="0" w:beforeAutospacing="0" w:after="0" w:afterAutospacing="0"/>
        <w:jc w:val="both"/>
        <w:rPr>
          <w:b/>
          <w:color w:val="000000"/>
        </w:rPr>
      </w:pPr>
      <w:hyperlink r:id="rId79" w:history="1">
        <w:r w:rsidRPr="00BE0E8C">
          <w:rPr>
            <w:rStyle w:val="Hyperlink"/>
          </w:rPr>
          <w:t>https://www.rbi.org.in/Scripts/NotificationUser.aspx?Id=12061&amp;Mode=0</w:t>
        </w:r>
      </w:hyperlink>
    </w:p>
    <w:p w:rsidR="00EB42E1" w:rsidRPr="00BE0E8C" w:rsidRDefault="00EB42E1" w:rsidP="00EB42E1">
      <w:pPr>
        <w:pStyle w:val="NormalWeb"/>
        <w:shd w:val="clear" w:color="auto" w:fill="FFFFFF"/>
        <w:spacing w:before="0" w:beforeAutospacing="0" w:after="0" w:afterAutospacing="0"/>
        <w:jc w:val="both"/>
        <w:rPr>
          <w:b/>
          <w:color w:val="000000"/>
        </w:rPr>
      </w:pPr>
    </w:p>
    <w:p w:rsidR="00D12E6B" w:rsidRPr="00BE0E8C" w:rsidRDefault="00D12E6B" w:rsidP="00D12E6B">
      <w:pPr>
        <w:pStyle w:val="NormalWeb"/>
        <w:shd w:val="clear" w:color="auto" w:fill="FFFFFF"/>
        <w:spacing w:before="0" w:beforeAutospacing="0" w:after="0" w:afterAutospacing="0"/>
        <w:jc w:val="both"/>
        <w:rPr>
          <w:b/>
          <w:bCs/>
          <w:color w:val="000000"/>
        </w:rPr>
      </w:pPr>
      <w:r>
        <w:rPr>
          <w:b/>
          <w:color w:val="000000"/>
        </w:rPr>
        <w:t>20.</w:t>
      </w:r>
      <w:r w:rsidRPr="00D12E6B">
        <w:rPr>
          <w:b/>
          <w:bCs/>
          <w:color w:val="000000"/>
        </w:rPr>
        <w:t xml:space="preserve"> </w:t>
      </w:r>
      <w:r w:rsidRPr="00BE0E8C">
        <w:rPr>
          <w:b/>
          <w:bCs/>
          <w:color w:val="000000"/>
        </w:rPr>
        <w:t>Amendment to Master Direction (MD) on KYC – KYC norms for Self Help Groups (SHGs)</w:t>
      </w:r>
    </w:p>
    <w:p w:rsidR="00D12E6B" w:rsidRPr="00BE0E8C" w:rsidRDefault="00D12E6B" w:rsidP="00D12E6B">
      <w:pPr>
        <w:pStyle w:val="NormalWeb"/>
        <w:shd w:val="clear" w:color="auto" w:fill="FFFFFF"/>
        <w:spacing w:before="0" w:beforeAutospacing="0" w:after="0" w:afterAutospacing="0"/>
        <w:jc w:val="both"/>
        <w:rPr>
          <w:b/>
          <w:color w:val="000000"/>
        </w:rPr>
      </w:pPr>
    </w:p>
    <w:p w:rsidR="00D12E6B" w:rsidRPr="00BE0E8C" w:rsidRDefault="00D12E6B" w:rsidP="00D12E6B">
      <w:pPr>
        <w:pStyle w:val="NormalWeb"/>
        <w:shd w:val="clear" w:color="auto" w:fill="FFFFFF"/>
        <w:spacing w:before="0" w:beforeAutospacing="0" w:after="0" w:afterAutospacing="0"/>
        <w:jc w:val="both"/>
        <w:rPr>
          <w:b/>
          <w:color w:val="000000"/>
        </w:rPr>
      </w:pPr>
      <w:r w:rsidRPr="00BE0E8C">
        <w:rPr>
          <w:b/>
          <w:color w:val="000000"/>
        </w:rPr>
        <w:t>RBI/2021-22/10 DOR.AML.BC.No.1/14.01.001/2021-22</w:t>
      </w:r>
      <w:r w:rsidRPr="00BE0E8C">
        <w:rPr>
          <w:b/>
          <w:color w:val="000000"/>
        </w:rPr>
        <w:tab/>
      </w:r>
      <w:r w:rsidRPr="00BE0E8C">
        <w:rPr>
          <w:b/>
          <w:color w:val="000000"/>
        </w:rPr>
        <w:tab/>
      </w:r>
      <w:r w:rsidRPr="00BE0E8C">
        <w:rPr>
          <w:b/>
          <w:color w:val="000000"/>
        </w:rPr>
        <w:tab/>
        <w:t>April 1, 2021</w:t>
      </w:r>
    </w:p>
    <w:p w:rsidR="00D12E6B" w:rsidRPr="00BE0E8C" w:rsidRDefault="00D12E6B" w:rsidP="00D12E6B">
      <w:pPr>
        <w:pStyle w:val="NormalWeb"/>
        <w:shd w:val="clear" w:color="auto" w:fill="FFFFFF"/>
        <w:spacing w:before="0" w:beforeAutospacing="0" w:after="0" w:afterAutospacing="0"/>
        <w:jc w:val="both"/>
        <w:rPr>
          <w:i/>
          <w:color w:val="000000"/>
          <w:shd w:val="clear" w:color="auto" w:fill="FFFFFF"/>
        </w:rPr>
      </w:pPr>
    </w:p>
    <w:p w:rsidR="00D12E6B" w:rsidRPr="00BE0E8C" w:rsidRDefault="00D12E6B" w:rsidP="00D12E6B">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D12E6B" w:rsidRPr="00BE0E8C" w:rsidRDefault="00D12E6B" w:rsidP="00D12E6B">
      <w:pPr>
        <w:pStyle w:val="NormalWeb"/>
        <w:shd w:val="clear" w:color="auto" w:fill="FFFFFF"/>
        <w:spacing w:before="0" w:beforeAutospacing="0" w:after="0" w:afterAutospacing="0"/>
        <w:jc w:val="both"/>
        <w:rPr>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lastRenderedPageBreak/>
        <w:t>Please refer to Section 43 of the </w:t>
      </w:r>
      <w:hyperlink r:id="rId80"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D12E6B" w:rsidRPr="00BE0E8C" w:rsidRDefault="00D12E6B" w:rsidP="00D12E6B">
      <w:pPr>
        <w:pStyle w:val="NormalWeb"/>
        <w:shd w:val="clear" w:color="auto" w:fill="FFFFFF"/>
        <w:spacing w:before="0" w:beforeAutospacing="0" w:after="0" w:afterAutospacing="0"/>
        <w:jc w:val="both"/>
        <w:rPr>
          <w:color w:val="000000"/>
        </w:rPr>
      </w:pPr>
    </w:p>
    <w:p w:rsidR="00D12E6B" w:rsidRPr="00BE0E8C" w:rsidRDefault="00D12E6B" w:rsidP="00D12E6B">
      <w:pPr>
        <w:pStyle w:val="NormalWeb"/>
        <w:shd w:val="clear" w:color="auto" w:fill="FFFFFF"/>
        <w:spacing w:before="0" w:beforeAutospacing="0" w:after="0" w:afterAutospacing="0"/>
        <w:jc w:val="both"/>
        <w:rPr>
          <w:color w:val="000000"/>
        </w:rPr>
      </w:pPr>
      <w:r w:rsidRPr="00BE0E8C">
        <w:rPr>
          <w:color w:val="000000"/>
        </w:rPr>
        <w:t>2. In this regard, on a review, it has been decided to amend clause (c) of Section 43 to read as under:</w:t>
      </w:r>
    </w:p>
    <w:p w:rsidR="00D12E6B" w:rsidRDefault="00D12E6B" w:rsidP="00D12E6B">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A074A1" w:rsidRPr="00BE0E8C" w:rsidRDefault="00A074A1" w:rsidP="00A074A1">
      <w:pPr>
        <w:pStyle w:val="NormalWeb"/>
        <w:shd w:val="clear" w:color="auto" w:fill="FFFFFF"/>
        <w:spacing w:before="0" w:beforeAutospacing="0" w:after="0" w:afterAutospacing="0"/>
        <w:jc w:val="both"/>
        <w:rPr>
          <w:b/>
          <w:color w:val="000000"/>
        </w:rPr>
      </w:pPr>
      <w:r>
        <w:rPr>
          <w:b/>
          <w:color w:val="000000"/>
        </w:rPr>
        <w:t>21.</w:t>
      </w:r>
      <w:r w:rsidRPr="00A074A1">
        <w:rPr>
          <w:b/>
          <w:color w:val="000000"/>
        </w:rPr>
        <w:t xml:space="preserve"> </w:t>
      </w:r>
      <w:r w:rsidRPr="00BE0E8C">
        <w:rPr>
          <w:b/>
          <w:color w:val="000000"/>
        </w:rPr>
        <w:t>Section 24 of the Banking Regulation Act, 1949 – Maintenance of Statutory Liquidity Ratio (SLR) – Marginal Standing Facility (MSF) - Extension of Relaxation</w:t>
      </w:r>
    </w:p>
    <w:p w:rsidR="00A074A1" w:rsidRPr="00BE0E8C" w:rsidRDefault="00A074A1" w:rsidP="00A074A1">
      <w:pPr>
        <w:pStyle w:val="NormalWeb"/>
        <w:shd w:val="clear" w:color="auto" w:fill="FFFFFF"/>
        <w:spacing w:before="0" w:beforeAutospacing="0" w:after="0" w:afterAutospacing="0"/>
        <w:jc w:val="both"/>
        <w:rPr>
          <w:b/>
          <w:color w:val="000000"/>
        </w:rPr>
      </w:pPr>
    </w:p>
    <w:p w:rsidR="00A074A1" w:rsidRPr="00BE0E8C" w:rsidRDefault="00A074A1" w:rsidP="00A074A1">
      <w:pPr>
        <w:pStyle w:val="NormalWeb"/>
        <w:shd w:val="clear" w:color="auto" w:fill="FFFFFF"/>
        <w:spacing w:before="0" w:beforeAutospacing="0" w:after="0" w:afterAutospacing="0"/>
        <w:jc w:val="both"/>
        <w:rPr>
          <w:b/>
          <w:color w:val="000000"/>
        </w:rPr>
      </w:pPr>
      <w:r w:rsidRPr="00BE0E8C">
        <w:rPr>
          <w:b/>
          <w:color w:val="000000"/>
        </w:rPr>
        <w:t>RBI/2020-21/91 DOR.No.Ret.BC.36/12.01.001/2020-21</w:t>
      </w:r>
      <w:r w:rsidRPr="00BE0E8C">
        <w:rPr>
          <w:b/>
          <w:color w:val="000000"/>
        </w:rPr>
        <w:tab/>
      </w:r>
      <w:r w:rsidRPr="00BE0E8C">
        <w:rPr>
          <w:b/>
          <w:color w:val="000000"/>
        </w:rPr>
        <w:tab/>
        <w:t>February 05, 2021</w:t>
      </w:r>
    </w:p>
    <w:p w:rsidR="00A074A1" w:rsidRPr="00BE0E8C" w:rsidRDefault="00A074A1" w:rsidP="00A074A1">
      <w:pPr>
        <w:pStyle w:val="NormalWeb"/>
        <w:shd w:val="clear" w:color="auto" w:fill="FFFFFF"/>
        <w:spacing w:before="0" w:beforeAutospacing="0" w:after="0" w:afterAutospacing="0"/>
        <w:jc w:val="both"/>
        <w:rPr>
          <w:i/>
          <w:color w:val="000000"/>
        </w:rPr>
      </w:pPr>
    </w:p>
    <w:p w:rsidR="00A074A1" w:rsidRPr="00BE0E8C" w:rsidRDefault="00A074A1" w:rsidP="00A074A1">
      <w:pPr>
        <w:pStyle w:val="NormalWeb"/>
        <w:shd w:val="clear" w:color="auto" w:fill="FFFFFF"/>
        <w:spacing w:before="0" w:beforeAutospacing="0" w:after="0" w:afterAutospacing="0"/>
        <w:jc w:val="both"/>
        <w:rPr>
          <w:i/>
          <w:color w:val="000000"/>
        </w:rPr>
      </w:pPr>
      <w:r w:rsidRPr="00BE0E8C">
        <w:rPr>
          <w:i/>
          <w:color w:val="000000"/>
        </w:rPr>
        <w:t>All Scheduled Banks</w:t>
      </w:r>
    </w:p>
    <w:p w:rsidR="00A074A1" w:rsidRPr="00BE0E8C" w:rsidRDefault="00A074A1" w:rsidP="00A074A1">
      <w:pPr>
        <w:pStyle w:val="NormalWeb"/>
        <w:shd w:val="clear" w:color="auto" w:fill="FFFFFF"/>
        <w:spacing w:before="0" w:beforeAutospacing="0" w:after="0" w:afterAutospacing="0"/>
        <w:jc w:val="both"/>
        <w:rPr>
          <w:color w:val="000000"/>
        </w:rPr>
      </w:pPr>
    </w:p>
    <w:p w:rsidR="00A074A1" w:rsidRPr="00BE0E8C" w:rsidRDefault="00A074A1" w:rsidP="00A074A1">
      <w:pPr>
        <w:pStyle w:val="NormalWeb"/>
        <w:shd w:val="clear" w:color="auto" w:fill="FFFFFF"/>
        <w:spacing w:before="0" w:beforeAutospacing="0" w:after="0" w:afterAutospacing="0"/>
        <w:jc w:val="both"/>
        <w:rPr>
          <w:color w:val="000000"/>
        </w:rPr>
      </w:pPr>
      <w:r w:rsidRPr="00BE0E8C">
        <w:rPr>
          <w:color w:val="000000"/>
        </w:rPr>
        <w:t>Please refer to our </w:t>
      </w:r>
      <w:hyperlink r:id="rId81" w:tgtFrame="_blank" w:history="1">
        <w:r w:rsidRPr="00BE0E8C">
          <w:rPr>
            <w:rStyle w:val="Hyperlink"/>
          </w:rPr>
          <w:t>circulars DOR.No.Ret.BC.52/12.01.001/2019-20 dated March 27, 2020</w:t>
        </w:r>
      </w:hyperlink>
      <w:r w:rsidRPr="00BE0E8C">
        <w:rPr>
          <w:color w:val="000000"/>
        </w:rPr>
        <w:t>, </w:t>
      </w:r>
      <w:hyperlink r:id="rId82" w:tgtFrame="_blank" w:history="1">
        <w:r w:rsidRPr="00BE0E8C">
          <w:rPr>
            <w:rStyle w:val="Hyperlink"/>
          </w:rPr>
          <w:t>DOR.RRB.No.28/31.01.001/2020-21 dated December 4, 2020</w:t>
        </w:r>
      </w:hyperlink>
      <w:r w:rsidRPr="00BE0E8C">
        <w:rPr>
          <w:color w:val="000000"/>
        </w:rPr>
        <w:t> and </w:t>
      </w:r>
      <w:hyperlink r:id="rId83" w:tgtFrame="_blank" w:history="1">
        <w:r w:rsidRPr="00BE0E8C">
          <w:rPr>
            <w:rStyle w:val="Hyperlink"/>
          </w:rPr>
          <w:t>Press Release No.2020-2021/401 dated September 28, 2020</w:t>
        </w:r>
      </w:hyperlink>
      <w:r w:rsidRPr="00BE0E8C">
        <w:rPr>
          <w:color w:val="000000"/>
        </w:rP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March 31, 2021 providing comfort to banks on their liquidity requirements and also to enable them to meet their Liquidity Coverage Ratio (LCR) requirements.</w:t>
      </w:r>
    </w:p>
    <w:p w:rsidR="00A074A1" w:rsidRPr="00BE0E8C" w:rsidRDefault="00A074A1" w:rsidP="00A074A1">
      <w:pPr>
        <w:pStyle w:val="NormalWeb"/>
        <w:shd w:val="clear" w:color="auto" w:fill="FFFFFF"/>
        <w:spacing w:before="0" w:beforeAutospacing="0" w:after="0" w:afterAutospacing="0"/>
        <w:jc w:val="both"/>
        <w:rPr>
          <w:color w:val="000000"/>
        </w:rPr>
      </w:pPr>
    </w:p>
    <w:p w:rsidR="00A074A1" w:rsidRPr="00BE0E8C" w:rsidRDefault="00A074A1" w:rsidP="00A074A1">
      <w:pPr>
        <w:pStyle w:val="NormalWeb"/>
        <w:shd w:val="clear" w:color="auto" w:fill="FFFFFF"/>
        <w:spacing w:before="0" w:beforeAutospacing="0" w:after="0" w:afterAutospacing="0"/>
        <w:jc w:val="both"/>
        <w:rPr>
          <w:color w:val="000000"/>
        </w:rPr>
      </w:pPr>
      <w:r w:rsidRPr="00BE0E8C">
        <w:rPr>
          <w:color w:val="000000"/>
        </w:rPr>
        <w:t>2. As announced in the </w:t>
      </w:r>
      <w:hyperlink r:id="rId84" w:tgtFrame="_blank" w:history="1">
        <w:r w:rsidRPr="00BE0E8C">
          <w:rPr>
            <w:rStyle w:val="Hyperlink"/>
          </w:rPr>
          <w:t>Statement of Developmental and Regulatory Policies of February 05, 2021</w:t>
        </w:r>
      </w:hyperlink>
      <w:r w:rsidRPr="00BE0E8C">
        <w:rPr>
          <w:color w:val="000000"/>
        </w:rPr>
        <w:t>, with a view to providing comfort to banks on their liquidity requirements, banks are allowed to continue with the MSF relaxation for a further period of six months, i.e., up to September 30, 2021.</w:t>
      </w:r>
    </w:p>
    <w:p w:rsidR="00A074A1" w:rsidRPr="00BE0E8C" w:rsidRDefault="00A074A1" w:rsidP="00A074A1">
      <w:pPr>
        <w:pStyle w:val="NormalWeb"/>
        <w:pBdr>
          <w:bottom w:val="single" w:sz="12" w:space="1" w:color="auto"/>
        </w:pBdr>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b/>
          <w:color w:val="000000"/>
        </w:rPr>
      </w:pPr>
      <w:r>
        <w:rPr>
          <w:b/>
          <w:bCs/>
          <w:color w:val="000000"/>
        </w:rPr>
        <w:t>22.</w:t>
      </w:r>
      <w:r w:rsidRPr="00DB2B0C">
        <w:rPr>
          <w:b/>
          <w:color w:val="000000"/>
        </w:rPr>
        <w:t xml:space="preserve"> </w:t>
      </w:r>
      <w:r w:rsidRPr="00BE0E8C">
        <w:rPr>
          <w:b/>
          <w:color w:val="000000"/>
        </w:rPr>
        <w:t>Maintenance of Cash Reserve Ratio (CRR)</w:t>
      </w:r>
    </w:p>
    <w:p w:rsidR="00DB2B0C" w:rsidRPr="00BE0E8C" w:rsidRDefault="00DB2B0C" w:rsidP="00DB2B0C">
      <w:pPr>
        <w:pStyle w:val="NormalWeb"/>
        <w:shd w:val="clear" w:color="auto" w:fill="FFFFFF"/>
        <w:spacing w:before="0" w:beforeAutospacing="0" w:after="0" w:afterAutospacing="0"/>
        <w:jc w:val="both"/>
        <w:rPr>
          <w:b/>
          <w:color w:val="000000"/>
        </w:rPr>
      </w:pPr>
    </w:p>
    <w:p w:rsidR="00DB2B0C" w:rsidRPr="00BE0E8C" w:rsidRDefault="00DB2B0C" w:rsidP="00DB2B0C">
      <w:pPr>
        <w:pStyle w:val="NormalWeb"/>
        <w:shd w:val="clear" w:color="auto" w:fill="FFFFFF"/>
        <w:spacing w:before="0" w:beforeAutospacing="0" w:after="0" w:afterAutospacing="0"/>
        <w:jc w:val="both"/>
        <w:rPr>
          <w:b/>
          <w:color w:val="000000"/>
        </w:rPr>
      </w:pPr>
      <w:r w:rsidRPr="00BE0E8C">
        <w:rPr>
          <w:b/>
          <w:color w:val="000000"/>
        </w:rPr>
        <w:t>RBI/2020-21/90 DOR.No.Ret.BC.35/12.01.001/2020-21</w:t>
      </w:r>
      <w:r w:rsidRPr="00BE0E8C">
        <w:rPr>
          <w:b/>
          <w:color w:val="000000"/>
        </w:rPr>
        <w:tab/>
      </w:r>
      <w:r w:rsidRPr="00BE0E8C">
        <w:rPr>
          <w:b/>
          <w:color w:val="000000"/>
        </w:rPr>
        <w:tab/>
      </w:r>
      <w:r w:rsidRPr="00BE0E8C">
        <w:rPr>
          <w:b/>
          <w:color w:val="000000"/>
        </w:rPr>
        <w:tab/>
        <w:t>February 5, 2021</w:t>
      </w:r>
    </w:p>
    <w:p w:rsidR="00DB2B0C" w:rsidRPr="00BE0E8C" w:rsidRDefault="00DB2B0C" w:rsidP="00DB2B0C">
      <w:pPr>
        <w:pStyle w:val="NormalWeb"/>
        <w:shd w:val="clear" w:color="auto" w:fill="FFFFFF"/>
        <w:spacing w:before="0" w:beforeAutospacing="0" w:after="0" w:afterAutospacing="0"/>
        <w:jc w:val="both"/>
        <w:rPr>
          <w:b/>
          <w:color w:val="000000"/>
        </w:rPr>
      </w:pPr>
    </w:p>
    <w:p w:rsidR="00DB2B0C" w:rsidRPr="00BE0E8C" w:rsidRDefault="00DB2B0C" w:rsidP="00DB2B0C">
      <w:pPr>
        <w:pStyle w:val="NormalWeb"/>
        <w:shd w:val="clear" w:color="auto" w:fill="FFFFFF"/>
        <w:spacing w:before="0" w:beforeAutospacing="0" w:after="0" w:afterAutospacing="0"/>
        <w:jc w:val="both"/>
        <w:rPr>
          <w:i/>
          <w:color w:val="000000"/>
        </w:rPr>
      </w:pPr>
      <w:r w:rsidRPr="00BE0E8C">
        <w:rPr>
          <w:i/>
          <w:color w:val="000000"/>
        </w:rPr>
        <w:t>All Banks</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color w:val="000000"/>
        </w:rPr>
      </w:pPr>
      <w:r w:rsidRPr="00BE0E8C">
        <w:rPr>
          <w:color w:val="000000"/>
        </w:rPr>
        <w:t>Please refer to our </w:t>
      </w:r>
      <w:hyperlink r:id="rId85" w:tgtFrame="_blank" w:history="1">
        <w:r w:rsidRPr="00BE0E8C">
          <w:rPr>
            <w:rStyle w:val="Hyperlink"/>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86" w:tgtFrame="_blank" w:history="1">
        <w:r w:rsidRPr="00BE0E8C">
          <w:rPr>
            <w:rStyle w:val="Hyperlink"/>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DB2B0C" w:rsidRPr="00BE0E8C" w:rsidRDefault="00DB2B0C" w:rsidP="00DB2B0C">
      <w:pPr>
        <w:pStyle w:val="NormalWeb"/>
        <w:pBdr>
          <w:bottom w:val="single" w:sz="12" w:space="1" w:color="auto"/>
        </w:pBdr>
        <w:shd w:val="clear" w:color="auto" w:fill="FFFFFF"/>
        <w:spacing w:before="0" w:beforeAutospacing="0" w:after="0" w:afterAutospacing="0"/>
        <w:jc w:val="both"/>
        <w:rPr>
          <w:b/>
          <w:color w:val="000000"/>
        </w:rPr>
      </w:pPr>
    </w:p>
    <w:p w:rsidR="00DB2B0C" w:rsidRPr="00BE0E8C" w:rsidRDefault="00DB2B0C" w:rsidP="00DB2B0C">
      <w:pPr>
        <w:pStyle w:val="NormalWeb"/>
        <w:shd w:val="clear" w:color="auto" w:fill="FFFFFF"/>
        <w:spacing w:before="0" w:beforeAutospacing="0" w:after="0" w:afterAutospacing="0"/>
        <w:jc w:val="both"/>
        <w:rPr>
          <w:b/>
          <w:color w:val="000000"/>
        </w:rPr>
      </w:pPr>
      <w:r>
        <w:rPr>
          <w:b/>
          <w:color w:val="000000"/>
        </w:rPr>
        <w:t>23.</w:t>
      </w:r>
      <w:r w:rsidRPr="00DB2B0C">
        <w:rPr>
          <w:b/>
          <w:color w:val="000000"/>
        </w:rPr>
        <w:t xml:space="preserve"> </w:t>
      </w:r>
      <w:r w:rsidRPr="00BE0E8C">
        <w:rPr>
          <w:b/>
          <w:color w:val="000000"/>
        </w:rPr>
        <w:t>Strengthening of Grievance Redress Mechanism in Banks</w:t>
      </w:r>
    </w:p>
    <w:p w:rsidR="00DB2B0C" w:rsidRPr="00BE0E8C" w:rsidRDefault="00DB2B0C" w:rsidP="00DB2B0C">
      <w:pPr>
        <w:pStyle w:val="NormalWeb"/>
        <w:shd w:val="clear" w:color="auto" w:fill="FFFFFF"/>
        <w:spacing w:before="0" w:beforeAutospacing="0" w:after="0" w:afterAutospacing="0"/>
        <w:jc w:val="both"/>
        <w:rPr>
          <w:b/>
          <w:color w:val="000000"/>
        </w:rPr>
      </w:pPr>
    </w:p>
    <w:p w:rsidR="00DB2B0C" w:rsidRPr="00BE0E8C" w:rsidRDefault="00DB2B0C" w:rsidP="00DB2B0C">
      <w:pPr>
        <w:pStyle w:val="NormalWeb"/>
        <w:shd w:val="clear" w:color="auto" w:fill="FFFFFF"/>
        <w:spacing w:before="0" w:beforeAutospacing="0" w:after="0" w:afterAutospacing="0"/>
        <w:jc w:val="both"/>
        <w:rPr>
          <w:b/>
          <w:color w:val="000000"/>
        </w:rPr>
      </w:pPr>
      <w:r w:rsidRPr="00BE0E8C">
        <w:rPr>
          <w:b/>
          <w:color w:val="000000"/>
        </w:rPr>
        <w:t>RBI/2020-21/87 CEPD.CO.PRD.Cir.No.01/13.01.013/2020-21</w:t>
      </w:r>
      <w:r w:rsidRPr="00BE0E8C">
        <w:rPr>
          <w:b/>
          <w:color w:val="000000"/>
        </w:rPr>
        <w:tab/>
      </w:r>
      <w:r w:rsidRPr="00BE0E8C">
        <w:rPr>
          <w:b/>
          <w:color w:val="000000"/>
        </w:rPr>
        <w:tab/>
        <w:t>January 27, 2021</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color w:val="000000"/>
        </w:rPr>
      </w:pPr>
      <w:r w:rsidRPr="00BE0E8C">
        <w:rPr>
          <w:color w:val="000000"/>
        </w:rPr>
        <w:t>Please refer to the ‘</w:t>
      </w:r>
      <w:hyperlink r:id="rId87" w:tgtFrame="_blank" w:history="1">
        <w:r w:rsidRPr="00BE0E8C">
          <w:rPr>
            <w:rStyle w:val="Hyperlink"/>
          </w:rPr>
          <w:t>Statement on Developmental and Regulatory Policies</w:t>
        </w:r>
      </w:hyperlink>
      <w:r w:rsidRPr="00BE0E8C">
        <w:rPr>
          <w:color w:val="000000"/>
        </w:rPr>
        <w:t>’ issued as part of the </w:t>
      </w:r>
      <w:hyperlink r:id="rId88"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color w:val="000000"/>
        </w:rPr>
      </w:pPr>
      <w:r w:rsidRPr="00BE0E8C">
        <w:rPr>
          <w:color w:val="000000"/>
        </w:rPr>
        <w:t>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supervisory action against banks that fail to improve their redress mechanism in a time bound manner. Details of the framework are provided in the </w:t>
      </w:r>
      <w:hyperlink r:id="rId89" w:anchor="AN1" w:history="1">
        <w:r w:rsidRPr="00BE0E8C">
          <w:rPr>
            <w:rStyle w:val="Hyperlink"/>
          </w:rPr>
          <w:t>Annex</w:t>
        </w:r>
      </w:hyperlink>
      <w:r w:rsidRPr="00BE0E8C">
        <w:rPr>
          <w:color w:val="000000"/>
        </w:rPr>
        <w:t>.</w:t>
      </w:r>
    </w:p>
    <w:p w:rsidR="00DB2B0C" w:rsidRPr="00BE0E8C" w:rsidRDefault="00DB2B0C" w:rsidP="00DB2B0C">
      <w:pPr>
        <w:pStyle w:val="NormalWeb"/>
        <w:shd w:val="clear" w:color="auto" w:fill="FFFFFF"/>
        <w:spacing w:before="0" w:beforeAutospacing="0" w:after="0" w:afterAutospacing="0"/>
        <w:jc w:val="both"/>
        <w:rPr>
          <w:color w:val="000000"/>
        </w:rPr>
      </w:pPr>
    </w:p>
    <w:p w:rsidR="00DB2B0C" w:rsidRPr="00BE0E8C" w:rsidRDefault="00DB2B0C" w:rsidP="00DB2B0C">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DB2B0C" w:rsidRPr="00BE0E8C" w:rsidRDefault="00DB2B0C" w:rsidP="00DB2B0C">
      <w:pPr>
        <w:pStyle w:val="NormalWeb"/>
        <w:pBdr>
          <w:bottom w:val="single" w:sz="12" w:space="1" w:color="auto"/>
        </w:pBdr>
        <w:shd w:val="clear" w:color="auto" w:fill="FFFFFF"/>
        <w:spacing w:before="0" w:beforeAutospacing="0" w:after="0" w:afterAutospacing="0"/>
        <w:jc w:val="both"/>
        <w:rPr>
          <w:color w:val="000000"/>
        </w:rPr>
      </w:pPr>
    </w:p>
    <w:p w:rsidR="00DB2B0C" w:rsidRPr="00BE0E8C" w:rsidRDefault="00DB2B0C" w:rsidP="00DB2B0C">
      <w:pPr>
        <w:pStyle w:val="NormalWeb"/>
        <w:shd w:val="clear" w:color="auto" w:fill="FFFFFF"/>
        <w:spacing w:before="0" w:beforeAutospacing="0" w:after="0" w:afterAutospacing="0"/>
        <w:jc w:val="both"/>
        <w:rPr>
          <w:b/>
          <w:color w:val="000000"/>
        </w:rPr>
      </w:pPr>
      <w:hyperlink r:id="rId90" w:history="1">
        <w:r w:rsidRPr="00BE0E8C">
          <w:rPr>
            <w:rStyle w:val="Hyperlink"/>
          </w:rPr>
          <w:t>https://www.rbi.org.in/Scripts/NotificationUser.aspx?Id=12017&amp;Mode=0</w:t>
        </w:r>
      </w:hyperlink>
    </w:p>
    <w:p w:rsidR="00A074A1" w:rsidRPr="00BE0E8C" w:rsidRDefault="00A074A1" w:rsidP="00A074A1">
      <w:pPr>
        <w:pStyle w:val="NormalWeb"/>
        <w:shd w:val="clear" w:color="auto" w:fill="FFFFFF"/>
        <w:spacing w:before="0" w:beforeAutospacing="0" w:after="0" w:afterAutospacing="0"/>
        <w:jc w:val="both"/>
        <w:rPr>
          <w:b/>
          <w:bCs/>
          <w:color w:val="000000"/>
        </w:rPr>
      </w:pPr>
    </w:p>
    <w:p w:rsidR="00DB2B0C" w:rsidRDefault="00DB2B0C" w:rsidP="00DB2B0C">
      <w:pPr>
        <w:spacing w:after="0" w:line="240" w:lineRule="auto"/>
        <w:jc w:val="both"/>
        <w:rPr>
          <w:rFonts w:ascii="Times New Roman" w:hAnsi="Times New Roman" w:cs="Times New Roman"/>
          <w:b/>
          <w:bCs/>
          <w:color w:val="000000"/>
          <w:sz w:val="24"/>
          <w:szCs w:val="24"/>
        </w:rPr>
      </w:pPr>
      <w:r>
        <w:rPr>
          <w:b/>
          <w:color w:val="000000"/>
        </w:rPr>
        <w:t>24.</w:t>
      </w:r>
      <w:r w:rsidRPr="00DB2B0C">
        <w:rPr>
          <w:rFonts w:ascii="Times New Roman" w:hAnsi="Times New Roman" w:cs="Times New Roman"/>
          <w:b/>
          <w:bCs/>
          <w:color w:val="000000"/>
          <w:sz w:val="24"/>
          <w:szCs w:val="24"/>
        </w:rPr>
        <w:t xml:space="preserve"> </w:t>
      </w:r>
      <w:r w:rsidRPr="00902A83">
        <w:rPr>
          <w:rFonts w:ascii="Times New Roman" w:hAnsi="Times New Roman" w:cs="Times New Roman"/>
          <w:b/>
          <w:bCs/>
          <w:color w:val="000000"/>
          <w:sz w:val="24"/>
          <w:szCs w:val="24"/>
        </w:rPr>
        <w:t>Booklet on Payment Systems in India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25 Jan 2021</w:t>
      </w:r>
    </w:p>
    <w:p w:rsidR="00DB2B0C" w:rsidRDefault="00DB2B0C" w:rsidP="00DB2B0C">
      <w:pPr>
        <w:spacing w:after="0" w:line="240" w:lineRule="auto"/>
        <w:jc w:val="both"/>
        <w:rPr>
          <w:rFonts w:ascii="Times New Roman" w:hAnsi="Times New Roman" w:cs="Times New Roman"/>
          <w:b/>
          <w:bCs/>
          <w:color w:val="000000"/>
          <w:sz w:val="24"/>
          <w:szCs w:val="24"/>
        </w:rPr>
      </w:pPr>
    </w:p>
    <w:p w:rsidR="00DB2B0C" w:rsidRPr="00C203D8" w:rsidRDefault="00DB2B0C" w:rsidP="00DB2B0C">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lastRenderedPageBreak/>
        <w:t>The Reserve Bank today released the </w:t>
      </w:r>
      <w:hyperlink r:id="rId91" w:tgtFrame="_blank" w:history="1">
        <w:r w:rsidRPr="00C203D8">
          <w:rPr>
            <w:rStyle w:val="Hyperlink"/>
            <w:rFonts w:ascii="Times New Roman" w:hAnsi="Times New Roman" w:cs="Times New Roman"/>
            <w:sz w:val="24"/>
            <w:szCs w:val="24"/>
          </w:rPr>
          <w:t>Booklet on Payment Systems</w:t>
        </w:r>
      </w:hyperlink>
      <w:r w:rsidRPr="00C203D8">
        <w:rPr>
          <w:rFonts w:ascii="Times New Roman" w:hAnsi="Times New Roman" w:cs="Times New Roman"/>
          <w:color w:val="000000"/>
          <w:sz w:val="24"/>
          <w:szCs w:val="24"/>
        </w:rPr>
        <w:t> covering the journey of Payment and Settlement Systems in India during the second decade of the millennium, viz., from the beginning of 2010 till the end of 2020.</w:t>
      </w:r>
    </w:p>
    <w:p w:rsidR="00DB2B0C" w:rsidRPr="00C203D8" w:rsidRDefault="00DB2B0C" w:rsidP="00DB2B0C">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This Booklet captures the transformation of India in the sphere of payment and settlement systems and describes, inter-alia, the legal and regulatory environment underpinning the digital payments systems, various enablers, payment options available to consumers, extent of adoption, etc. during 2010 to 2020.</w:t>
      </w:r>
    </w:p>
    <w:p w:rsidR="00DB2B0C" w:rsidRPr="00C203D8" w:rsidRDefault="00DB2B0C" w:rsidP="00DB2B0C">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Reserve Bank had earlier come out with Booklets on Payment Systems in the years 1998 and 2008. This third Booklet in the series is expected to serve as a reference document for those interested in knowing more about payment system developments in the country. </w:t>
      </w:r>
    </w:p>
    <w:p w:rsidR="00DB2B0C" w:rsidRDefault="00DB2B0C" w:rsidP="00DB2B0C">
      <w:pPr>
        <w:spacing w:after="0" w:line="240" w:lineRule="auto"/>
        <w:jc w:val="both"/>
        <w:rPr>
          <w:rFonts w:ascii="Times New Roman" w:hAnsi="Times New Roman" w:cs="Times New Roman"/>
          <w:color w:val="000000"/>
          <w:sz w:val="24"/>
          <w:szCs w:val="24"/>
        </w:rPr>
      </w:pPr>
    </w:p>
    <w:p w:rsidR="00DB2B0C" w:rsidRDefault="00DB2B0C" w:rsidP="00DB2B0C">
      <w:pPr>
        <w:pBdr>
          <w:bottom w:val="single" w:sz="12" w:space="1" w:color="auto"/>
        </w:pBdr>
        <w:spacing w:after="0" w:line="240" w:lineRule="auto"/>
        <w:jc w:val="both"/>
        <w:rPr>
          <w:rFonts w:ascii="Times New Roman" w:hAnsi="Times New Roman" w:cs="Times New Roman"/>
          <w:color w:val="000000"/>
          <w:sz w:val="24"/>
          <w:szCs w:val="24"/>
        </w:rPr>
      </w:pPr>
      <w:hyperlink r:id="rId92" w:history="1">
        <w:r w:rsidRPr="003A2F80">
          <w:rPr>
            <w:rStyle w:val="Hyperlink"/>
            <w:rFonts w:ascii="Times New Roman" w:hAnsi="Times New Roman" w:cs="Times New Roman"/>
            <w:sz w:val="24"/>
            <w:szCs w:val="24"/>
          </w:rPr>
          <w:t>https://rbidocs.rbi.org.in/rdocs/Publications/PDFs/PSSBOOKLET93D3AEFDEAF14044BC1BB36662C41A8C.PDF</w:t>
        </w:r>
      </w:hyperlink>
    </w:p>
    <w:p w:rsidR="00DB2B0C" w:rsidRDefault="00DB2B0C" w:rsidP="00DB2B0C">
      <w:pPr>
        <w:spacing w:after="0" w:line="240" w:lineRule="auto"/>
        <w:jc w:val="both"/>
        <w:rPr>
          <w:rFonts w:ascii="Times New Roman" w:hAnsi="Times New Roman" w:cs="Times New Roman"/>
          <w:b/>
          <w:color w:val="000000"/>
          <w:sz w:val="24"/>
          <w:szCs w:val="24"/>
        </w:rPr>
      </w:pPr>
    </w:p>
    <w:p w:rsidR="00DB2B0C" w:rsidRDefault="00DB2B0C" w:rsidP="00DB2B0C">
      <w:pPr>
        <w:spacing w:after="0" w:line="240" w:lineRule="auto"/>
        <w:jc w:val="both"/>
        <w:rPr>
          <w:rFonts w:ascii="Times New Roman" w:hAnsi="Times New Roman" w:cs="Times New Roman"/>
          <w:b/>
          <w:color w:val="000000"/>
          <w:sz w:val="24"/>
          <w:szCs w:val="24"/>
          <w:u w:val="single"/>
        </w:rPr>
      </w:pPr>
      <w:r>
        <w:rPr>
          <w:b/>
          <w:color w:val="000000"/>
        </w:rPr>
        <w:t>25.</w:t>
      </w:r>
      <w:r w:rsidRPr="00DB2B0C">
        <w:rPr>
          <w:rFonts w:ascii="Times New Roman" w:hAnsi="Times New Roman" w:cs="Times New Roman"/>
          <w:b/>
          <w:color w:val="000000"/>
          <w:sz w:val="24"/>
          <w:szCs w:val="24"/>
          <w:u w:val="single"/>
        </w:rPr>
        <w:t xml:space="preserve"> </w:t>
      </w:r>
      <w:r w:rsidRPr="005D3900">
        <w:rPr>
          <w:rFonts w:ascii="Times New Roman" w:hAnsi="Times New Roman" w:cs="Times New Roman"/>
          <w:b/>
          <w:color w:val="000000"/>
          <w:sz w:val="24"/>
          <w:szCs w:val="24"/>
          <w:u w:val="single"/>
        </w:rPr>
        <w:t xml:space="preserve">FATF </w:t>
      </w:r>
    </w:p>
    <w:p w:rsidR="00DB2B0C" w:rsidRDefault="00DB2B0C" w:rsidP="00DB2B0C">
      <w:pPr>
        <w:spacing w:after="0" w:line="240" w:lineRule="auto"/>
        <w:jc w:val="both"/>
        <w:rPr>
          <w:rFonts w:ascii="Times New Roman" w:hAnsi="Times New Roman" w:cs="Times New Roman"/>
          <w:b/>
          <w:color w:val="000000"/>
          <w:sz w:val="24"/>
          <w:szCs w:val="24"/>
          <w:u w:val="single"/>
        </w:rPr>
      </w:pPr>
    </w:p>
    <w:p w:rsidR="00DB2B0C" w:rsidRDefault="00DB2B0C" w:rsidP="00DB2B0C">
      <w:pPr>
        <w:spacing w:after="0" w:line="240" w:lineRule="auto"/>
        <w:jc w:val="both"/>
        <w:rPr>
          <w:rFonts w:ascii="Times New Roman" w:eastAsia="Times New Roman" w:hAnsi="Times New Roman" w:cs="Times New Roman"/>
          <w:b/>
          <w:color w:val="000000"/>
          <w:sz w:val="24"/>
          <w:szCs w:val="24"/>
          <w:lang w:eastAsia="en-IN"/>
        </w:rPr>
      </w:pPr>
      <w:r w:rsidRPr="005D3900">
        <w:rPr>
          <w:rFonts w:ascii="Times New Roman" w:eastAsia="Times New Roman" w:hAnsi="Times New Roman" w:cs="Times New Roman"/>
          <w:b/>
          <w:color w:val="000000"/>
          <w:sz w:val="24"/>
          <w:szCs w:val="24"/>
          <w:lang w:eastAsia="en-IN"/>
        </w:rPr>
        <w:t>High-risk and other monitored jurisdictions: Jurisdictions under Increased Monitoring - June 2021</w:t>
      </w:r>
    </w:p>
    <w:p w:rsidR="00DB2B0C" w:rsidRPr="005D3900" w:rsidRDefault="00DB2B0C" w:rsidP="00DB2B0C">
      <w:pPr>
        <w:spacing w:after="0" w:line="240" w:lineRule="auto"/>
        <w:jc w:val="both"/>
        <w:rPr>
          <w:rFonts w:ascii="Times New Roman" w:hAnsi="Times New Roman" w:cs="Times New Roman"/>
          <w:b/>
          <w:color w:val="000000"/>
          <w:sz w:val="24"/>
          <w:szCs w:val="24"/>
          <w:u w:val="single"/>
        </w:rPr>
      </w:pPr>
    </w:p>
    <w:p w:rsidR="00DB2B0C" w:rsidRPr="005D3900" w:rsidRDefault="00DB2B0C" w:rsidP="00DB2B0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Jurisdictions under increased monitoring are actively working with the FATF to address strategic deficiencies in their regimes to counter money laundering, terrorist financing, and proliferation financing. When the FATF places a jurisdiction under increased monitoring, it means the country has committed to resolve swiftly the identified strategic deficiencies within agreed timeframes and is subject to increased monitoring. This list is often externally referred to as the “grey list”.</w:t>
      </w:r>
    </w:p>
    <w:p w:rsidR="00DB2B0C" w:rsidRPr="005D3900" w:rsidRDefault="00DB2B0C" w:rsidP="00DB2B0C">
      <w:pPr>
        <w:spacing w:after="0" w:line="240" w:lineRule="auto"/>
        <w:jc w:val="both"/>
        <w:rPr>
          <w:rFonts w:ascii="Times New Roman" w:hAnsi="Times New Roman" w:cs="Times New Roman"/>
          <w:color w:val="000000"/>
          <w:sz w:val="24"/>
          <w:szCs w:val="24"/>
        </w:rPr>
      </w:pPr>
    </w:p>
    <w:p w:rsidR="00DB2B0C" w:rsidRPr="005D3900" w:rsidRDefault="00DB2B0C" w:rsidP="00DB2B0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and FATF-style regional bodies (FSRBs) continue to work with the jurisdictions below as they report on the progress achieved in addressing their strategic deficiencies. The FATF calls on these jurisdictions to complete their action plans expeditiously and within the agreed timeframes. The FATF welcomes their commitment and will closely monitor their progress. The FATF does not call for the application of enhanced due diligence measures to be applied to these jurisdictions, but encourages its members and all jurisdictions to take into account the information presented below in their risk analysis.</w:t>
      </w:r>
    </w:p>
    <w:p w:rsidR="00DB2B0C" w:rsidRPr="005D3900" w:rsidRDefault="00DB2B0C" w:rsidP="00DB2B0C">
      <w:pPr>
        <w:spacing w:after="0" w:line="240" w:lineRule="auto"/>
        <w:jc w:val="both"/>
        <w:rPr>
          <w:rFonts w:ascii="Times New Roman" w:hAnsi="Times New Roman" w:cs="Times New Roman"/>
          <w:color w:val="000000"/>
          <w:sz w:val="24"/>
          <w:szCs w:val="24"/>
        </w:rPr>
      </w:pPr>
    </w:p>
    <w:p w:rsidR="00DB2B0C" w:rsidRDefault="00DB2B0C" w:rsidP="00DB2B0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identifies additional jurisdictions, on an on-going basis, that have strategic deficiencies in their regimes to counter money laundering, terrorist financing, and proliferation financing. A number of jurisdictions have not yet been reviewed by the FATF or their FSRBs, but will be in due course.</w:t>
      </w:r>
    </w:p>
    <w:p w:rsidR="00DB2B0C" w:rsidRDefault="00DB2B0C" w:rsidP="00DB2B0C">
      <w:pPr>
        <w:spacing w:after="0" w:line="240" w:lineRule="auto"/>
        <w:jc w:val="both"/>
        <w:rPr>
          <w:rFonts w:ascii="Times New Roman" w:hAnsi="Times New Roman" w:cs="Times New Roman"/>
          <w:color w:val="000000"/>
          <w:sz w:val="24"/>
          <w:szCs w:val="24"/>
        </w:rPr>
      </w:pPr>
    </w:p>
    <w:p w:rsidR="00DB2B0C" w:rsidRDefault="00DB2B0C" w:rsidP="00DB2B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detailed guidelines: </w:t>
      </w:r>
      <w:hyperlink r:id="rId93" w:history="1">
        <w:r w:rsidRPr="003A2F80">
          <w:rPr>
            <w:rStyle w:val="Hyperlink"/>
            <w:rFonts w:ascii="Times New Roman" w:hAnsi="Times New Roman" w:cs="Times New Roman"/>
            <w:sz w:val="24"/>
            <w:szCs w:val="24"/>
          </w:rPr>
          <w:t>http://www.fatf-gafi.org/publications/high-risk-and-other-monitored-jurisdictions/documents/increased-monitoring-june-2021.html</w:t>
        </w:r>
      </w:hyperlink>
    </w:p>
    <w:p w:rsidR="00DB2B0C" w:rsidRDefault="00DB2B0C" w:rsidP="00DB2B0C">
      <w:pPr>
        <w:pBdr>
          <w:bottom w:val="single" w:sz="12" w:space="1" w:color="auto"/>
        </w:pBdr>
        <w:spacing w:after="0" w:line="240" w:lineRule="auto"/>
        <w:jc w:val="both"/>
        <w:rPr>
          <w:rFonts w:ascii="Times New Roman" w:hAnsi="Times New Roman" w:cs="Times New Roman"/>
          <w:color w:val="000000"/>
          <w:sz w:val="24"/>
          <w:szCs w:val="24"/>
        </w:rPr>
      </w:pPr>
    </w:p>
    <w:p w:rsidR="00DB2B0C" w:rsidRDefault="00DB2B0C" w:rsidP="00DB2B0C">
      <w:pPr>
        <w:spacing w:after="0" w:line="240" w:lineRule="auto"/>
        <w:jc w:val="both"/>
        <w:rPr>
          <w:rFonts w:ascii="Times New Roman" w:hAnsi="Times New Roman" w:cs="Times New Roman"/>
          <w:b/>
          <w:color w:val="000000"/>
          <w:sz w:val="24"/>
          <w:szCs w:val="24"/>
        </w:rPr>
      </w:pPr>
      <w:r>
        <w:rPr>
          <w:b/>
          <w:color w:val="000000"/>
        </w:rPr>
        <w:t>26.</w:t>
      </w:r>
      <w:r w:rsidRPr="00DB2B0C">
        <w:rPr>
          <w:rFonts w:ascii="Times New Roman" w:hAnsi="Times New Roman" w:cs="Times New Roman"/>
          <w:b/>
          <w:color w:val="000000"/>
          <w:sz w:val="24"/>
          <w:szCs w:val="24"/>
        </w:rPr>
        <w:t xml:space="preserve"> </w:t>
      </w:r>
      <w:r w:rsidRPr="005D3900">
        <w:rPr>
          <w:rFonts w:ascii="Times New Roman" w:hAnsi="Times New Roman" w:cs="Times New Roman"/>
          <w:b/>
          <w:color w:val="000000"/>
          <w:sz w:val="24"/>
          <w:szCs w:val="24"/>
        </w:rPr>
        <w:t>High-Risk Jurisdictions subject to a Call for Action - June 2021</w:t>
      </w:r>
    </w:p>
    <w:p w:rsidR="00DB2B0C" w:rsidRDefault="00DB2B0C" w:rsidP="00DB2B0C">
      <w:pPr>
        <w:spacing w:after="0" w:line="240" w:lineRule="auto"/>
        <w:jc w:val="both"/>
        <w:rPr>
          <w:rFonts w:ascii="Times New Roman" w:hAnsi="Times New Roman" w:cs="Times New Roman"/>
          <w:b/>
          <w:color w:val="000000"/>
          <w:sz w:val="24"/>
          <w:szCs w:val="24"/>
        </w:rPr>
      </w:pPr>
    </w:p>
    <w:p w:rsidR="00DB2B0C" w:rsidRDefault="00DB2B0C" w:rsidP="00DB2B0C">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 xml:space="preserve">High-risk jurisdictions have significant strategic deficiencies in their regimes to counter money laundering, terrorist financing, and financing of proliferation. For all countries identified as high-risk, the FATF calls on all members and urges all jurisdictions to apply enhanced due diligence, </w:t>
      </w:r>
      <w:r w:rsidRPr="005D3900">
        <w:rPr>
          <w:rFonts w:ascii="Times New Roman" w:hAnsi="Times New Roman" w:cs="Times New Roman"/>
          <w:color w:val="000000"/>
          <w:sz w:val="24"/>
          <w:szCs w:val="24"/>
        </w:rPr>
        <w:lastRenderedPageBreak/>
        <w:t>and, in the most serious cases, countries are called upon to apply counter-measures to protect the international financial sys</w:t>
      </w:r>
      <w:r>
        <w:rPr>
          <w:rFonts w:ascii="Times New Roman" w:hAnsi="Times New Roman" w:cs="Times New Roman"/>
          <w:color w:val="000000"/>
          <w:sz w:val="24"/>
          <w:szCs w:val="24"/>
        </w:rPr>
        <w:t xml:space="preserve">tem from the money laundering, </w:t>
      </w:r>
      <w:r w:rsidRPr="005D3900">
        <w:rPr>
          <w:rFonts w:ascii="Times New Roman" w:hAnsi="Times New Roman" w:cs="Times New Roman"/>
          <w:color w:val="000000"/>
          <w:sz w:val="24"/>
          <w:szCs w:val="24"/>
        </w:rPr>
        <w:t>terrorist financing, and proliferation financing (ML/TF/PF) risks emanating from the country. This list is often externally referred to as the “black list”. Since February 2020, in light of the COVID-19 pandemic, the FATF has paused the review process for countries in the list of High-Risk Jurisdictions subject to a Call for Action, given that they are already subject to the FATF’s call for countermeasures. Therefore, please refer to the statement on these jurisdictions adopted in February 2020. While the statement may not necessarily reflect the most recent status of Iran and the Democratic People’s Republic of Korea’s AML/CFT regimes, the FATF’s call for action on these high-risk jurisdictions remains in effect.</w:t>
      </w:r>
    </w:p>
    <w:p w:rsidR="00DB2B0C" w:rsidRDefault="00DB2B0C" w:rsidP="00DB2B0C">
      <w:pPr>
        <w:spacing w:after="0" w:line="240" w:lineRule="auto"/>
        <w:jc w:val="both"/>
        <w:rPr>
          <w:rFonts w:ascii="Times New Roman" w:hAnsi="Times New Roman" w:cs="Times New Roman"/>
          <w:color w:val="000000"/>
          <w:sz w:val="24"/>
          <w:szCs w:val="24"/>
        </w:rPr>
      </w:pPr>
    </w:p>
    <w:p w:rsidR="00DB2B0C" w:rsidRDefault="00DB2B0C" w:rsidP="00DB2B0C">
      <w:pPr>
        <w:pBdr>
          <w:bottom w:val="single" w:sz="12" w:space="1" w:color="auto"/>
        </w:pBdr>
        <w:spacing w:after="0" w:line="240" w:lineRule="auto"/>
        <w:jc w:val="both"/>
        <w:rPr>
          <w:rFonts w:ascii="Times New Roman" w:hAnsi="Times New Roman" w:cs="Times New Roman"/>
          <w:color w:val="000000"/>
          <w:sz w:val="24"/>
          <w:szCs w:val="24"/>
        </w:rPr>
      </w:pPr>
      <w:hyperlink r:id="rId94" w:history="1">
        <w:r w:rsidRPr="003A2F80">
          <w:rPr>
            <w:rStyle w:val="Hyperlink"/>
            <w:rFonts w:ascii="Times New Roman" w:hAnsi="Times New Roman" w:cs="Times New Roman"/>
            <w:sz w:val="24"/>
            <w:szCs w:val="24"/>
          </w:rPr>
          <w:t>http://www.fatf-gafi.org/publications/high-risk-and-other-monitored-jurisdictions/documents/call-for-action-june-2021.html</w:t>
        </w:r>
      </w:hyperlink>
      <w:r>
        <w:rPr>
          <w:rFonts w:ascii="Times New Roman" w:hAnsi="Times New Roman" w:cs="Times New Roman"/>
          <w:color w:val="000000"/>
          <w:sz w:val="24"/>
          <w:szCs w:val="24"/>
        </w:rPr>
        <w:t xml:space="preserve"> </w:t>
      </w:r>
    </w:p>
    <w:p w:rsidR="00DB2B0C" w:rsidRDefault="00DB2B0C" w:rsidP="00DB2B0C">
      <w:pPr>
        <w:pBdr>
          <w:bottom w:val="single" w:sz="12" w:space="1" w:color="auto"/>
        </w:pBdr>
        <w:spacing w:after="0" w:line="240" w:lineRule="auto"/>
        <w:jc w:val="both"/>
        <w:rPr>
          <w:rFonts w:ascii="Times New Roman" w:hAnsi="Times New Roman" w:cs="Times New Roman"/>
          <w:color w:val="000000"/>
          <w:sz w:val="24"/>
          <w:szCs w:val="24"/>
        </w:rPr>
      </w:pPr>
    </w:p>
    <w:p w:rsidR="00EB42E1" w:rsidRPr="00BE0E8C" w:rsidRDefault="00EB42E1" w:rsidP="00EB42E1">
      <w:pPr>
        <w:pStyle w:val="NormalWeb"/>
        <w:shd w:val="clear" w:color="auto" w:fill="FFFFFF"/>
        <w:spacing w:before="0" w:beforeAutospacing="0" w:after="0" w:afterAutospacing="0"/>
        <w:jc w:val="both"/>
        <w:rPr>
          <w:b/>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color w:val="000000"/>
        </w:rPr>
        <w:t>27.</w:t>
      </w:r>
      <w:r w:rsidRPr="00DB2B0C">
        <w:rPr>
          <w:b/>
          <w:color w:val="000000"/>
        </w:rPr>
        <w:t xml:space="preserve"> </w:t>
      </w:r>
      <w:r w:rsidRPr="00E73A66">
        <w:rPr>
          <w:b/>
          <w:color w:val="000000"/>
        </w:rPr>
        <w:t>Finance Minister’s Press Conference</w:t>
      </w:r>
      <w:r>
        <w:rPr>
          <w:b/>
          <w:color w:val="000000"/>
        </w:rPr>
        <w:t xml:space="preserve"> </w:t>
      </w:r>
      <w:r>
        <w:rPr>
          <w:b/>
          <w:color w:val="000000"/>
        </w:rPr>
        <w:tab/>
      </w:r>
      <w:r>
        <w:rPr>
          <w:b/>
          <w:color w:val="000000"/>
        </w:rPr>
        <w:tab/>
      </w:r>
      <w:r>
        <w:rPr>
          <w:b/>
          <w:color w:val="000000"/>
        </w:rPr>
        <w:tab/>
      </w:r>
      <w:r>
        <w:rPr>
          <w:b/>
          <w:color w:val="000000"/>
        </w:rPr>
        <w:tab/>
      </w:r>
      <w:r w:rsidRPr="00E73A66">
        <w:rPr>
          <w:b/>
          <w:color w:val="000000"/>
        </w:rPr>
        <w:t xml:space="preserve">28th June, 2021 </w:t>
      </w:r>
    </w:p>
    <w:p w:rsidR="00DB2B0C" w:rsidRDefault="00DB2B0C" w:rsidP="00DB2B0C">
      <w:pPr>
        <w:pStyle w:val="NormalWeb"/>
        <w:shd w:val="clear" w:color="auto" w:fill="FFFFFF"/>
        <w:spacing w:before="0" w:beforeAutospacing="0" w:after="0" w:afterAutospacing="0"/>
        <w:jc w:val="both"/>
        <w:rPr>
          <w:b/>
          <w:color w:val="000000"/>
        </w:rPr>
      </w:pPr>
    </w:p>
    <w:p w:rsidR="00DB2B0C" w:rsidRPr="00804175" w:rsidRDefault="00DB2B0C" w:rsidP="00DB2B0C">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I. Rs. </w:t>
      </w:r>
      <w:r w:rsidRPr="00E73A66">
        <w:rPr>
          <w:b/>
          <w:color w:val="000000"/>
        </w:rPr>
        <w:t xml:space="preserve">1.1 Lakh Cr Loan Guarantee Scheme for COVID Affected Sectors </w:t>
      </w:r>
    </w:p>
    <w:p w:rsidR="00DB2B0C" w:rsidRPr="00E73A66" w:rsidRDefault="00DB2B0C" w:rsidP="00DB2B0C">
      <w:pPr>
        <w:pStyle w:val="NormalWeb"/>
        <w:shd w:val="clear" w:color="auto" w:fill="FFFFFF"/>
        <w:spacing w:before="0" w:beforeAutospacing="0" w:after="0" w:afterAutospacing="0"/>
        <w:jc w:val="both"/>
        <w:rPr>
          <w:b/>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sidRPr="00E73A66">
        <w:rPr>
          <w:b/>
          <w:color w:val="000000"/>
        </w:rPr>
        <w:t>Health Sector: Rs. 50,000 crore</w:t>
      </w:r>
    </w:p>
    <w:p w:rsidR="00DB2B0C" w:rsidRPr="00E73A66" w:rsidRDefault="00DB2B0C" w:rsidP="00DB2B0C">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DB2B0C" w:rsidRPr="00E73A66" w:rsidRDefault="00DB2B0C" w:rsidP="00DB2B0C">
      <w:pPr>
        <w:pStyle w:val="NormalWeb"/>
        <w:numPr>
          <w:ilvl w:val="0"/>
          <w:numId w:val="7"/>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DB2B0C" w:rsidRPr="00E73A66" w:rsidRDefault="00DB2B0C" w:rsidP="00DB2B0C">
      <w:pPr>
        <w:pStyle w:val="NormalWeb"/>
        <w:numPr>
          <w:ilvl w:val="0"/>
          <w:numId w:val="7"/>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DB2B0C" w:rsidRPr="00E73A66" w:rsidRDefault="00DB2B0C" w:rsidP="00DB2B0C">
      <w:pPr>
        <w:pStyle w:val="NormalWeb"/>
        <w:numPr>
          <w:ilvl w:val="0"/>
          <w:numId w:val="7"/>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DB2B0C" w:rsidRPr="00E73A66" w:rsidRDefault="00DB2B0C" w:rsidP="00DB2B0C">
      <w:pPr>
        <w:pStyle w:val="NormalWeb"/>
        <w:numPr>
          <w:ilvl w:val="0"/>
          <w:numId w:val="7"/>
        </w:numPr>
        <w:shd w:val="clear" w:color="auto" w:fill="FFFFFF"/>
        <w:spacing w:before="0" w:beforeAutospacing="0" w:after="0" w:afterAutospacing="0"/>
        <w:jc w:val="both"/>
        <w:rPr>
          <w:color w:val="000000"/>
        </w:rPr>
      </w:pPr>
      <w:r w:rsidRPr="00E73A66">
        <w:rPr>
          <w:color w:val="000000"/>
        </w:rPr>
        <w:t>Maximum loan: Rs. 100 crore; Guarantee duration: Up to 3 years</w:t>
      </w:r>
    </w:p>
    <w:p w:rsidR="00DB2B0C" w:rsidRPr="00E73A66" w:rsidRDefault="00DB2B0C" w:rsidP="00DB2B0C">
      <w:pPr>
        <w:pStyle w:val="NormalWeb"/>
        <w:numPr>
          <w:ilvl w:val="0"/>
          <w:numId w:val="7"/>
        </w:numPr>
        <w:shd w:val="clear" w:color="auto" w:fill="FFFFFF"/>
        <w:spacing w:before="0" w:beforeAutospacing="0" w:after="0" w:afterAutospacing="0"/>
        <w:jc w:val="both"/>
        <w:rPr>
          <w:color w:val="000000"/>
        </w:rPr>
      </w:pPr>
      <w:r w:rsidRPr="00E73A66">
        <w:rPr>
          <w:color w:val="000000"/>
        </w:rPr>
        <w:t xml:space="preserve">Interest rate capped at 7.95% </w:t>
      </w:r>
    </w:p>
    <w:p w:rsidR="00DB2B0C" w:rsidRPr="00E73A66" w:rsidRDefault="00DB2B0C" w:rsidP="00DB2B0C">
      <w:pPr>
        <w:pStyle w:val="NormalWeb"/>
        <w:numPr>
          <w:ilvl w:val="0"/>
          <w:numId w:val="7"/>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DB2B0C" w:rsidRPr="00E73A66" w:rsidRDefault="00DB2B0C" w:rsidP="00DB2B0C">
      <w:pPr>
        <w:pStyle w:val="NormalWeb"/>
        <w:shd w:val="clear" w:color="auto" w:fill="FFFFFF"/>
        <w:spacing w:before="0" w:beforeAutospacing="0" w:after="0" w:afterAutospacing="0"/>
        <w:jc w:val="both"/>
        <w:rPr>
          <w:b/>
          <w:color w:val="000000"/>
        </w:rPr>
      </w:pPr>
      <w:r w:rsidRPr="00E73A66">
        <w:rPr>
          <w:b/>
          <w:color w:val="000000"/>
        </w:rPr>
        <w:t>Other Sectors: Rs. 60,000 crore</w:t>
      </w:r>
    </w:p>
    <w:p w:rsidR="00DB2B0C" w:rsidRPr="00E73A66" w:rsidRDefault="00DB2B0C" w:rsidP="00DB2B0C">
      <w:pPr>
        <w:pStyle w:val="NormalWeb"/>
        <w:numPr>
          <w:ilvl w:val="0"/>
          <w:numId w:val="8"/>
        </w:numPr>
        <w:shd w:val="clear" w:color="auto" w:fill="FFFFFF"/>
        <w:spacing w:before="0" w:beforeAutospacing="0" w:after="0" w:afterAutospacing="0"/>
        <w:jc w:val="both"/>
        <w:rPr>
          <w:color w:val="000000"/>
        </w:rPr>
      </w:pPr>
      <w:r w:rsidRPr="00E73A66">
        <w:rPr>
          <w:color w:val="000000"/>
        </w:rPr>
        <w:t xml:space="preserve">Interest rate capped at 8.25% p.a. </w:t>
      </w:r>
    </w:p>
    <w:p w:rsidR="00DB2B0C" w:rsidRPr="00E73A66" w:rsidRDefault="00DB2B0C" w:rsidP="00DB2B0C">
      <w:pPr>
        <w:pStyle w:val="NormalWeb"/>
        <w:numPr>
          <w:ilvl w:val="0"/>
          <w:numId w:val="8"/>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DB2B0C" w:rsidRPr="00E73A66" w:rsidRDefault="00DB2B0C" w:rsidP="00DB2B0C">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DB2B0C" w:rsidRPr="00E73A66" w:rsidRDefault="00DB2B0C" w:rsidP="00DB2B0C">
      <w:pPr>
        <w:pStyle w:val="NormalWeb"/>
        <w:numPr>
          <w:ilvl w:val="0"/>
          <w:numId w:val="9"/>
        </w:numPr>
        <w:shd w:val="clear" w:color="auto" w:fill="FFFFFF"/>
        <w:spacing w:before="0" w:beforeAutospacing="0" w:after="0" w:afterAutospacing="0"/>
        <w:jc w:val="both"/>
        <w:rPr>
          <w:color w:val="000000"/>
        </w:rPr>
      </w:pPr>
      <w:r w:rsidRPr="00E73A66">
        <w:rPr>
          <w:color w:val="000000"/>
        </w:rPr>
        <w:t>Launched as part of Atma Nirbhar Bharat Package in May, 2020.</w:t>
      </w:r>
    </w:p>
    <w:p w:rsidR="00DB2B0C" w:rsidRPr="00E73A66" w:rsidRDefault="00DB2B0C" w:rsidP="00DB2B0C">
      <w:pPr>
        <w:pStyle w:val="NormalWeb"/>
        <w:numPr>
          <w:ilvl w:val="0"/>
          <w:numId w:val="9"/>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DB2B0C" w:rsidRPr="00E73A66" w:rsidRDefault="00DB2B0C" w:rsidP="00DB2B0C">
      <w:pPr>
        <w:pStyle w:val="NormalWeb"/>
        <w:numPr>
          <w:ilvl w:val="0"/>
          <w:numId w:val="9"/>
        </w:numPr>
        <w:shd w:val="clear" w:color="auto" w:fill="FFFFFF"/>
        <w:spacing w:before="0" w:beforeAutospacing="0" w:after="0" w:afterAutospacing="0"/>
        <w:jc w:val="both"/>
        <w:rPr>
          <w:color w:val="000000"/>
        </w:rPr>
      </w:pPr>
      <w:r w:rsidRPr="00E73A66">
        <w:rPr>
          <w:color w:val="000000"/>
        </w:rPr>
        <w:t>Contact intensive sectors already covered and shall be continued. Rs 4,000 crore given to these sectors through this window so far</w:t>
      </w:r>
    </w:p>
    <w:p w:rsidR="00DB2B0C" w:rsidRPr="00E73A66" w:rsidRDefault="00DB2B0C" w:rsidP="00DB2B0C">
      <w:pPr>
        <w:pStyle w:val="NormalWeb"/>
        <w:numPr>
          <w:ilvl w:val="0"/>
          <w:numId w:val="9"/>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DB2B0C" w:rsidRPr="00E73A66" w:rsidRDefault="00DB2B0C" w:rsidP="00DB2B0C">
      <w:pPr>
        <w:pStyle w:val="NormalWeb"/>
        <w:numPr>
          <w:ilvl w:val="0"/>
          <w:numId w:val="9"/>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DB2B0C" w:rsidRPr="00E73A66" w:rsidRDefault="00DB2B0C" w:rsidP="00DB2B0C">
      <w:pPr>
        <w:pStyle w:val="NormalWeb"/>
        <w:numPr>
          <w:ilvl w:val="0"/>
          <w:numId w:val="9"/>
        </w:numPr>
        <w:shd w:val="clear" w:color="auto" w:fill="FFFFFF"/>
        <w:spacing w:before="0" w:beforeAutospacing="0" w:after="0" w:afterAutospacing="0"/>
        <w:jc w:val="both"/>
        <w:rPr>
          <w:color w:val="000000"/>
        </w:rPr>
      </w:pPr>
      <w:r w:rsidRPr="00E73A66">
        <w:rPr>
          <w:color w:val="000000"/>
        </w:rPr>
        <w:t>Overall cap of admissible guarantee to be raised from Rs. 3 lakh crore to Rs. 4.5 lakh crore</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to Rs 1.25 lakh to approximately 25 lakh small borrowers</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Focus on new lending, not repayment of old loans</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Guarantee cover for funding provided by MLIs to MFIs/NBFC-MFIs till March 31, 2022 or till guarantees for an amount of Rs.</w:t>
      </w:r>
      <w:r>
        <w:rPr>
          <w:color w:val="000000"/>
        </w:rPr>
        <w:t xml:space="preserve"> </w:t>
      </w:r>
      <w:r w:rsidRPr="00E73A66">
        <w:rPr>
          <w:color w:val="000000"/>
        </w:rPr>
        <w:t>7,500 crore are issued, whichever is earlier.</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DB2B0C" w:rsidRPr="00E73A66" w:rsidRDefault="00DB2B0C" w:rsidP="00DB2B0C">
      <w:pPr>
        <w:pStyle w:val="NormalWeb"/>
        <w:numPr>
          <w:ilvl w:val="0"/>
          <w:numId w:val="10"/>
        </w:numPr>
        <w:shd w:val="clear" w:color="auto" w:fill="FFFFFF"/>
        <w:spacing w:before="0" w:beforeAutospacing="0" w:after="0" w:afterAutospacing="0"/>
        <w:jc w:val="both"/>
        <w:rPr>
          <w:color w:val="000000"/>
        </w:rPr>
      </w:pPr>
      <w:r w:rsidRPr="00E73A66">
        <w:rPr>
          <w:color w:val="000000"/>
        </w:rPr>
        <w:t>No guarantee fee to be charged by NCGTC</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DB2B0C" w:rsidRPr="00E73A66" w:rsidRDefault="00DB2B0C" w:rsidP="00DB2B0C">
      <w:pPr>
        <w:pStyle w:val="NormalWeb"/>
        <w:numPr>
          <w:ilvl w:val="0"/>
          <w:numId w:val="11"/>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DB2B0C" w:rsidRPr="00E73A66" w:rsidRDefault="00DB2B0C" w:rsidP="00DB2B0C">
      <w:pPr>
        <w:pStyle w:val="NormalWeb"/>
        <w:numPr>
          <w:ilvl w:val="0"/>
          <w:numId w:val="11"/>
        </w:numPr>
        <w:shd w:val="clear" w:color="auto" w:fill="FFFFFF"/>
        <w:spacing w:before="0" w:beforeAutospacing="0" w:after="0" w:afterAutospacing="0"/>
        <w:jc w:val="both"/>
        <w:rPr>
          <w:color w:val="000000"/>
        </w:rPr>
      </w:pPr>
      <w:r w:rsidRPr="00E73A66">
        <w:rPr>
          <w:color w:val="000000"/>
        </w:rPr>
        <w:t>The scheme will cover:</w:t>
      </w:r>
    </w:p>
    <w:p w:rsidR="00DB2B0C" w:rsidRPr="00E73A66" w:rsidRDefault="00DB2B0C" w:rsidP="00DB2B0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DB2B0C" w:rsidRPr="00E73A66" w:rsidRDefault="00DB2B0C" w:rsidP="00DB2B0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DB2B0C" w:rsidRPr="00E73A66" w:rsidRDefault="00DB2B0C" w:rsidP="00DB2B0C">
      <w:pPr>
        <w:pStyle w:val="NormalWeb"/>
        <w:numPr>
          <w:ilvl w:val="0"/>
          <w:numId w:val="11"/>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DB2B0C" w:rsidRPr="00E73A66" w:rsidRDefault="00DB2B0C" w:rsidP="00DB2B0C">
      <w:pPr>
        <w:pStyle w:val="NormalWeb"/>
        <w:numPr>
          <w:ilvl w:val="0"/>
          <w:numId w:val="12"/>
        </w:numPr>
        <w:shd w:val="clear" w:color="auto" w:fill="FFFFFF"/>
        <w:spacing w:before="0" w:beforeAutospacing="0" w:after="0" w:afterAutospacing="0"/>
        <w:jc w:val="both"/>
        <w:rPr>
          <w:color w:val="000000"/>
        </w:rPr>
      </w:pPr>
      <w:r>
        <w:rPr>
          <w:color w:val="000000"/>
        </w:rPr>
        <w:t>Rs. 10,00,000 for TTS (</w:t>
      </w:r>
      <w:r w:rsidRPr="00E73A66">
        <w:rPr>
          <w:color w:val="000000"/>
        </w:rPr>
        <w:t>per agency)</w:t>
      </w:r>
    </w:p>
    <w:p w:rsidR="00DB2B0C" w:rsidRPr="00E73A66" w:rsidRDefault="00DB2B0C" w:rsidP="00DB2B0C">
      <w:pPr>
        <w:pStyle w:val="NormalWeb"/>
        <w:numPr>
          <w:ilvl w:val="0"/>
          <w:numId w:val="12"/>
        </w:numPr>
        <w:shd w:val="clear" w:color="auto" w:fill="FFFFFF"/>
        <w:spacing w:before="0" w:beforeAutospacing="0" w:after="0" w:afterAutospacing="0"/>
        <w:jc w:val="both"/>
        <w:rPr>
          <w:color w:val="000000"/>
        </w:rPr>
      </w:pPr>
      <w:r w:rsidRPr="00E73A66">
        <w:rPr>
          <w:color w:val="000000"/>
        </w:rPr>
        <w:t>Rs. 1,00,000 for tourist guides licenced at Regional or State level</w:t>
      </w:r>
    </w:p>
    <w:p w:rsidR="00DB2B0C" w:rsidRPr="00E73A66" w:rsidRDefault="00DB2B0C" w:rsidP="00DB2B0C">
      <w:pPr>
        <w:pStyle w:val="NormalWeb"/>
        <w:numPr>
          <w:ilvl w:val="0"/>
          <w:numId w:val="11"/>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DB2B0C" w:rsidRPr="00E73A66" w:rsidRDefault="00DB2B0C" w:rsidP="00DB2B0C">
      <w:pPr>
        <w:pStyle w:val="NormalWeb"/>
        <w:numPr>
          <w:ilvl w:val="0"/>
          <w:numId w:val="11"/>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DB2B0C" w:rsidRPr="00E73A66" w:rsidRDefault="00DB2B0C" w:rsidP="00DB2B0C">
      <w:pPr>
        <w:pStyle w:val="NormalWeb"/>
        <w:numPr>
          <w:ilvl w:val="0"/>
          <w:numId w:val="13"/>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DB2B0C" w:rsidRPr="00E73A66" w:rsidRDefault="00DB2B0C" w:rsidP="00DB2B0C">
      <w:pPr>
        <w:pStyle w:val="NormalWeb"/>
        <w:numPr>
          <w:ilvl w:val="0"/>
          <w:numId w:val="13"/>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(Rs 2400).</w:t>
      </w:r>
    </w:p>
    <w:p w:rsidR="00DB2B0C" w:rsidRPr="00E73A66" w:rsidRDefault="00DB2B0C" w:rsidP="00DB2B0C">
      <w:pPr>
        <w:pStyle w:val="NormalWeb"/>
        <w:numPr>
          <w:ilvl w:val="0"/>
          <w:numId w:val="13"/>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DB2B0C" w:rsidRPr="00E73A66" w:rsidRDefault="00DB2B0C" w:rsidP="00DB2B0C">
      <w:pPr>
        <w:pStyle w:val="NormalWeb"/>
        <w:numPr>
          <w:ilvl w:val="0"/>
          <w:numId w:val="13"/>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DB2B0C" w:rsidRPr="00E73A66" w:rsidRDefault="00DB2B0C" w:rsidP="00DB2B0C">
      <w:pPr>
        <w:pStyle w:val="NormalWeb"/>
        <w:numPr>
          <w:ilvl w:val="0"/>
          <w:numId w:val="13"/>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DB2B0C" w:rsidRPr="00E73A66" w:rsidRDefault="00DB2B0C" w:rsidP="00DB2B0C">
      <w:pPr>
        <w:pStyle w:val="NormalWeb"/>
        <w:numPr>
          <w:ilvl w:val="0"/>
          <w:numId w:val="13"/>
        </w:numPr>
        <w:shd w:val="clear" w:color="auto" w:fill="FFFFFF"/>
        <w:spacing w:before="0" w:beforeAutospacing="0" w:after="0" w:afterAutospacing="0"/>
        <w:jc w:val="both"/>
        <w:rPr>
          <w:color w:val="000000"/>
        </w:rPr>
      </w:pPr>
      <w:r w:rsidRPr="00E73A66">
        <w:rPr>
          <w:color w:val="000000"/>
        </w:rPr>
        <w:t>Total financial implications- Rs 100 Crore</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Extension of Atmanirbhar Bharat Rozgar Yojana</w:t>
      </w:r>
    </w:p>
    <w:p w:rsidR="00DB2B0C" w:rsidRPr="00E73A66" w:rsidRDefault="00DB2B0C" w:rsidP="00DB2B0C">
      <w:pPr>
        <w:pStyle w:val="NormalWeb"/>
        <w:numPr>
          <w:ilvl w:val="0"/>
          <w:numId w:val="14"/>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DB2B0C" w:rsidRPr="00E73A66" w:rsidRDefault="00DB2B0C" w:rsidP="00DB2B0C">
      <w:pPr>
        <w:pStyle w:val="NormalWeb"/>
        <w:numPr>
          <w:ilvl w:val="0"/>
          <w:numId w:val="14"/>
        </w:numPr>
        <w:shd w:val="clear" w:color="auto" w:fill="FFFFFF"/>
        <w:spacing w:before="0" w:beforeAutospacing="0" w:after="0" w:afterAutospacing="0"/>
        <w:jc w:val="both"/>
        <w:rPr>
          <w:color w:val="000000"/>
        </w:rPr>
      </w:pPr>
      <w:r w:rsidRPr="00E73A66">
        <w:rPr>
          <w:color w:val="000000"/>
        </w:rPr>
        <w:t>Approved outlay Rs. 22,810 crore for 58.50 lakh estimated beneficiaries. Last date for registration is 30.06.2021.</w:t>
      </w:r>
    </w:p>
    <w:p w:rsidR="00DB2B0C" w:rsidRPr="00E73A66" w:rsidRDefault="00DB2B0C" w:rsidP="00DB2B0C">
      <w:pPr>
        <w:pStyle w:val="NormalWeb"/>
        <w:numPr>
          <w:ilvl w:val="0"/>
          <w:numId w:val="14"/>
        </w:numPr>
        <w:shd w:val="clear" w:color="auto" w:fill="FFFFFF"/>
        <w:spacing w:before="0" w:beforeAutospacing="0" w:after="0" w:afterAutospacing="0"/>
        <w:jc w:val="both"/>
        <w:rPr>
          <w:color w:val="000000"/>
        </w:rPr>
      </w:pPr>
      <w:r w:rsidRPr="00E73A66">
        <w:rPr>
          <w:color w:val="000000"/>
        </w:rPr>
        <w:t>Subsidy provided for two years from registration for new employees drawing monthly wages less than Rs. 15000 for:</w:t>
      </w:r>
    </w:p>
    <w:p w:rsidR="00DB2B0C" w:rsidRPr="00E73A66" w:rsidRDefault="00DB2B0C" w:rsidP="00DB2B0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upto 1000 employees.</w:t>
      </w:r>
    </w:p>
    <w:p w:rsidR="00DB2B0C" w:rsidRPr="00E73A66" w:rsidRDefault="00DB2B0C" w:rsidP="00DB2B0C">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DB2B0C" w:rsidRPr="00E73A66" w:rsidRDefault="00DB2B0C" w:rsidP="00DB2B0C">
      <w:pPr>
        <w:pStyle w:val="NormalWeb"/>
        <w:numPr>
          <w:ilvl w:val="0"/>
          <w:numId w:val="14"/>
        </w:numPr>
        <w:shd w:val="clear" w:color="auto" w:fill="FFFFFF"/>
        <w:spacing w:before="0" w:beforeAutospacing="0" w:after="0" w:afterAutospacing="0"/>
        <w:jc w:val="both"/>
        <w:rPr>
          <w:color w:val="000000"/>
        </w:rPr>
      </w:pPr>
      <w:r w:rsidRPr="00E73A66">
        <w:rPr>
          <w:color w:val="000000"/>
        </w:rPr>
        <w:t>Benefit of Rs. 902 Cr given to 21.42 lakh beneficiaries of 79,577 establishments till 18.06.2021</w:t>
      </w:r>
    </w:p>
    <w:p w:rsidR="00DB2B0C" w:rsidRPr="00E73A66" w:rsidRDefault="00DB2B0C" w:rsidP="00DB2B0C">
      <w:pPr>
        <w:pStyle w:val="NormalWeb"/>
        <w:numPr>
          <w:ilvl w:val="0"/>
          <w:numId w:val="14"/>
        </w:numPr>
        <w:shd w:val="clear" w:color="auto" w:fill="FFFFFF"/>
        <w:spacing w:before="0" w:beforeAutospacing="0" w:after="0" w:afterAutospacing="0"/>
        <w:jc w:val="both"/>
        <w:rPr>
          <w:color w:val="000000"/>
        </w:rPr>
      </w:pPr>
      <w:r w:rsidRPr="00E73A66">
        <w:rPr>
          <w:color w:val="000000"/>
        </w:rPr>
        <w:t>Scheme extended from 30.6.2021 to 31.03.2022</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DB2B0C" w:rsidRPr="00E73A66" w:rsidRDefault="00DB2B0C" w:rsidP="00DB2B0C">
      <w:pPr>
        <w:pStyle w:val="NormalWeb"/>
        <w:shd w:val="clear" w:color="auto" w:fill="FFFFFF"/>
        <w:spacing w:before="0" w:beforeAutospacing="0" w:after="0" w:afterAutospacing="0"/>
        <w:jc w:val="both"/>
        <w:rPr>
          <w:b/>
          <w:color w:val="000000"/>
        </w:rPr>
      </w:pPr>
      <w:r w:rsidRPr="00E73A66">
        <w:rPr>
          <w:b/>
          <w:color w:val="000000"/>
        </w:rPr>
        <w:t>(Announced Earlier)</w:t>
      </w:r>
    </w:p>
    <w:p w:rsidR="00DB2B0C" w:rsidRPr="00E73A66" w:rsidRDefault="00DB2B0C" w:rsidP="00DB2B0C">
      <w:pPr>
        <w:pStyle w:val="NormalWeb"/>
        <w:numPr>
          <w:ilvl w:val="0"/>
          <w:numId w:val="15"/>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DB2B0C" w:rsidRPr="00E73A66" w:rsidRDefault="00DB2B0C" w:rsidP="00DB2B0C">
      <w:pPr>
        <w:pStyle w:val="NormalWeb"/>
        <w:numPr>
          <w:ilvl w:val="0"/>
          <w:numId w:val="15"/>
        </w:numPr>
        <w:shd w:val="clear" w:color="auto" w:fill="FFFFFF"/>
        <w:spacing w:before="0" w:beforeAutospacing="0" w:after="0" w:afterAutospacing="0"/>
        <w:jc w:val="both"/>
        <w:rPr>
          <w:color w:val="000000"/>
        </w:rPr>
      </w:pPr>
      <w:r w:rsidRPr="00E73A66">
        <w:rPr>
          <w:color w:val="000000"/>
        </w:rPr>
        <w:t>Rs 85,413 Crore paid to farmers</w:t>
      </w:r>
    </w:p>
    <w:p w:rsidR="00DB2B0C" w:rsidRPr="00E73A66" w:rsidRDefault="00DB2B0C" w:rsidP="00DB2B0C">
      <w:pPr>
        <w:pStyle w:val="NormalWeb"/>
        <w:numPr>
          <w:ilvl w:val="0"/>
          <w:numId w:val="15"/>
        </w:numPr>
        <w:shd w:val="clear" w:color="auto" w:fill="FFFFFF"/>
        <w:spacing w:before="0" w:beforeAutospacing="0" w:after="0" w:afterAutospacing="0"/>
        <w:jc w:val="both"/>
        <w:rPr>
          <w:color w:val="000000"/>
        </w:rPr>
      </w:pPr>
      <w:r w:rsidRPr="00E73A66">
        <w:rPr>
          <w:color w:val="000000"/>
        </w:rPr>
        <w:t>Existing NBS subsidy was Rs.</w:t>
      </w:r>
      <w:r>
        <w:rPr>
          <w:color w:val="000000"/>
        </w:rPr>
        <w:t xml:space="preserve"> </w:t>
      </w:r>
      <w:r w:rsidRPr="00E73A66">
        <w:rPr>
          <w:color w:val="000000"/>
        </w:rPr>
        <w:t>27,500 crores in FY 2020-21 which has been increased to Rs. 42,275 crore in FY 2021-22</w:t>
      </w:r>
    </w:p>
    <w:p w:rsidR="00DB2B0C" w:rsidRPr="00E73A66" w:rsidRDefault="00DB2B0C" w:rsidP="00DB2B0C">
      <w:pPr>
        <w:pStyle w:val="NormalWeb"/>
        <w:numPr>
          <w:ilvl w:val="0"/>
          <w:numId w:val="15"/>
        </w:numPr>
        <w:shd w:val="clear" w:color="auto" w:fill="FFFFFF"/>
        <w:spacing w:before="0" w:beforeAutospacing="0" w:after="0" w:afterAutospacing="0"/>
        <w:jc w:val="both"/>
        <w:rPr>
          <w:color w:val="000000"/>
        </w:rPr>
      </w:pPr>
      <w:r w:rsidRPr="00E73A66">
        <w:rPr>
          <w:color w:val="000000"/>
        </w:rPr>
        <w:t>Additional amount of Rs.</w:t>
      </w:r>
      <w:r>
        <w:rPr>
          <w:color w:val="000000"/>
        </w:rPr>
        <w:t xml:space="preserve"> </w:t>
      </w:r>
      <w:r w:rsidRPr="00E73A66">
        <w:rPr>
          <w:color w:val="000000"/>
        </w:rPr>
        <w:t>14,775 crore to be provided. This includes Rs.</w:t>
      </w:r>
      <w:r>
        <w:rPr>
          <w:color w:val="000000"/>
        </w:rPr>
        <w:t xml:space="preserve"> </w:t>
      </w:r>
      <w:r w:rsidRPr="00E73A66">
        <w:rPr>
          <w:color w:val="000000"/>
        </w:rPr>
        <w:t>9,125 crore additional subsidy for DAP and Rs.5,650 crore additional subsidy for NPK based complex fertilizer</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Extension of Pradhan Mantri Gareeb Kalyan Anna Yojana (PMGKAY)</w:t>
      </w:r>
    </w:p>
    <w:p w:rsidR="00DB2B0C" w:rsidRPr="00E73A66" w:rsidRDefault="00DB2B0C" w:rsidP="00DB2B0C">
      <w:pPr>
        <w:pStyle w:val="NormalWeb"/>
        <w:shd w:val="clear" w:color="auto" w:fill="FFFFFF"/>
        <w:spacing w:before="0" w:beforeAutospacing="0" w:after="0" w:afterAutospacing="0"/>
        <w:jc w:val="both"/>
        <w:rPr>
          <w:b/>
          <w:color w:val="000000"/>
        </w:rPr>
      </w:pPr>
      <w:r w:rsidRPr="00E73A66">
        <w:rPr>
          <w:b/>
          <w:color w:val="000000"/>
        </w:rPr>
        <w:t>(Announced Earlier)</w:t>
      </w:r>
    </w:p>
    <w:p w:rsidR="00DB2B0C" w:rsidRPr="00E73A66" w:rsidRDefault="00DB2B0C" w:rsidP="00DB2B0C">
      <w:pPr>
        <w:pStyle w:val="NormalWeb"/>
        <w:numPr>
          <w:ilvl w:val="0"/>
          <w:numId w:val="16"/>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DB2B0C" w:rsidRPr="00E73A66" w:rsidRDefault="00DB2B0C" w:rsidP="00DB2B0C">
      <w:pPr>
        <w:pStyle w:val="NormalWeb"/>
        <w:numPr>
          <w:ilvl w:val="0"/>
          <w:numId w:val="16"/>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DB2B0C" w:rsidRPr="00E73A66" w:rsidRDefault="00DB2B0C" w:rsidP="00DB2B0C">
      <w:pPr>
        <w:pStyle w:val="NormalWeb"/>
        <w:numPr>
          <w:ilvl w:val="0"/>
          <w:numId w:val="16"/>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DB2B0C" w:rsidRPr="00E73A66" w:rsidRDefault="00DB2B0C" w:rsidP="00DB2B0C">
      <w:pPr>
        <w:pStyle w:val="NormalWeb"/>
        <w:numPr>
          <w:ilvl w:val="0"/>
          <w:numId w:val="16"/>
        </w:numPr>
        <w:shd w:val="clear" w:color="auto" w:fill="FFFFFF"/>
        <w:spacing w:before="0" w:beforeAutospacing="0" w:after="0" w:afterAutospacing="0"/>
        <w:jc w:val="both"/>
        <w:rPr>
          <w:color w:val="000000"/>
        </w:rPr>
      </w:pPr>
      <w:r w:rsidRPr="00E73A66">
        <w:rPr>
          <w:color w:val="000000"/>
        </w:rPr>
        <w:t>The total cost of the scheme in 2020-21 was Rs. 133,972 crore.</w:t>
      </w:r>
    </w:p>
    <w:p w:rsidR="00DB2B0C" w:rsidRPr="00804175" w:rsidRDefault="00DB2B0C" w:rsidP="00DB2B0C">
      <w:pPr>
        <w:pStyle w:val="NormalWeb"/>
        <w:numPr>
          <w:ilvl w:val="0"/>
          <w:numId w:val="16"/>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DB2B0C" w:rsidRPr="00804175" w:rsidRDefault="00DB2B0C" w:rsidP="00DB2B0C">
      <w:pPr>
        <w:pStyle w:val="NormalWeb"/>
        <w:numPr>
          <w:ilvl w:val="0"/>
          <w:numId w:val="16"/>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DB2B0C" w:rsidRPr="00804175" w:rsidRDefault="00DB2B0C" w:rsidP="00DB2B0C">
      <w:pPr>
        <w:pStyle w:val="NormalWeb"/>
        <w:numPr>
          <w:ilvl w:val="0"/>
          <w:numId w:val="16"/>
        </w:numPr>
        <w:shd w:val="clear" w:color="auto" w:fill="FFFFFF"/>
        <w:spacing w:before="0" w:beforeAutospacing="0" w:after="0" w:afterAutospacing="0"/>
        <w:jc w:val="both"/>
        <w:rPr>
          <w:color w:val="000000"/>
        </w:rPr>
      </w:pPr>
      <w:r w:rsidRPr="00804175">
        <w:rPr>
          <w:color w:val="000000"/>
        </w:rPr>
        <w:t>Estimated financial implications are Rs 93,869 cr, bringing the total cost of PMGKY to Rs 2,27,841 Crore</w:t>
      </w:r>
    </w:p>
    <w:p w:rsidR="00DB2B0C" w:rsidRDefault="00DB2B0C" w:rsidP="00DB2B0C">
      <w:pPr>
        <w:pStyle w:val="NormalWeb"/>
        <w:shd w:val="clear" w:color="auto" w:fill="FFFFFF"/>
        <w:spacing w:before="0" w:beforeAutospacing="0" w:after="0" w:afterAutospacing="0"/>
        <w:jc w:val="both"/>
        <w:rPr>
          <w:b/>
          <w:color w:val="000000"/>
        </w:rPr>
      </w:pPr>
    </w:p>
    <w:p w:rsidR="00DB2B0C" w:rsidRPr="00804175" w:rsidRDefault="00DB2B0C" w:rsidP="00DB2B0C">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Pr>
          <w:b/>
          <w:color w:val="000000"/>
        </w:rPr>
        <w:t xml:space="preserve">IX. </w:t>
      </w:r>
      <w:r w:rsidRPr="00804175">
        <w:rPr>
          <w:b/>
          <w:color w:val="000000"/>
        </w:rPr>
        <w:t>Rs. 23,220 Cr More for Public Health</w:t>
      </w:r>
    </w:p>
    <w:p w:rsidR="00DB2B0C" w:rsidRPr="00804175" w:rsidRDefault="00DB2B0C" w:rsidP="00DB2B0C">
      <w:pPr>
        <w:pStyle w:val="NormalWeb"/>
        <w:numPr>
          <w:ilvl w:val="0"/>
          <w:numId w:val="17"/>
        </w:numPr>
        <w:shd w:val="clear" w:color="auto" w:fill="FFFFFF"/>
        <w:spacing w:before="0" w:beforeAutospacing="0" w:after="0" w:afterAutospacing="0"/>
        <w:jc w:val="both"/>
        <w:rPr>
          <w:color w:val="000000"/>
        </w:rPr>
      </w:pPr>
      <w:r w:rsidRPr="00804175">
        <w:rPr>
          <w:color w:val="000000"/>
        </w:rPr>
        <w:lastRenderedPageBreak/>
        <w:t>Rs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DB2B0C" w:rsidRPr="00804175" w:rsidRDefault="00DB2B0C" w:rsidP="00DB2B0C">
      <w:pPr>
        <w:pStyle w:val="NormalWeb"/>
        <w:numPr>
          <w:ilvl w:val="0"/>
          <w:numId w:val="17"/>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DB2B0C" w:rsidRPr="00E73A66" w:rsidRDefault="00DB2B0C" w:rsidP="00DB2B0C">
      <w:pPr>
        <w:pStyle w:val="NormalWeb"/>
        <w:numPr>
          <w:ilvl w:val="0"/>
          <w:numId w:val="17"/>
        </w:numPr>
        <w:shd w:val="clear" w:color="auto" w:fill="FFFFFF"/>
        <w:spacing w:before="0" w:beforeAutospacing="0" w:after="0" w:afterAutospacing="0"/>
        <w:jc w:val="both"/>
        <w:rPr>
          <w:color w:val="000000"/>
        </w:rPr>
      </w:pPr>
      <w:r w:rsidRPr="00E73A66">
        <w:rPr>
          <w:color w:val="000000"/>
        </w:rPr>
        <w:t>Rs 23,220 Cr earmarked for one year</w:t>
      </w:r>
    </w:p>
    <w:p w:rsidR="00DB2B0C" w:rsidRPr="00804175" w:rsidRDefault="00DB2B0C" w:rsidP="00DB2B0C">
      <w:pPr>
        <w:pStyle w:val="NormalWeb"/>
        <w:numPr>
          <w:ilvl w:val="0"/>
          <w:numId w:val="17"/>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DB2B0C" w:rsidRPr="00E73A66" w:rsidRDefault="00DB2B0C" w:rsidP="00DB2B0C">
      <w:pPr>
        <w:pStyle w:val="NormalWeb"/>
        <w:numPr>
          <w:ilvl w:val="0"/>
          <w:numId w:val="17"/>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DB2B0C" w:rsidRPr="00E73A66" w:rsidRDefault="00DB2B0C" w:rsidP="00DB2B0C">
      <w:pPr>
        <w:pStyle w:val="NormalWeb"/>
        <w:numPr>
          <w:ilvl w:val="0"/>
          <w:numId w:val="17"/>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DB2B0C" w:rsidRPr="00804175" w:rsidRDefault="00DB2B0C" w:rsidP="00DB2B0C">
      <w:pPr>
        <w:pStyle w:val="NormalWeb"/>
        <w:numPr>
          <w:ilvl w:val="0"/>
          <w:numId w:val="17"/>
        </w:numPr>
        <w:shd w:val="clear" w:color="auto" w:fill="FFFFFF"/>
        <w:spacing w:before="0" w:beforeAutospacing="0" w:after="0" w:afterAutospacing="0"/>
        <w:jc w:val="both"/>
        <w:rPr>
          <w:color w:val="000000"/>
        </w:rPr>
      </w:pPr>
      <w:r w:rsidRPr="00804175">
        <w:rPr>
          <w:color w:val="000000"/>
        </w:rPr>
        <w:t>Enhance testing capacity and supportive diagnostics, strengthen capacity for surveillance and genome sequencing.</w:t>
      </w:r>
    </w:p>
    <w:p w:rsidR="00DB2B0C" w:rsidRDefault="00DB2B0C" w:rsidP="00DB2B0C">
      <w:pPr>
        <w:pStyle w:val="NormalWeb"/>
        <w:shd w:val="clear" w:color="auto" w:fill="FFFFFF"/>
        <w:spacing w:before="0" w:beforeAutospacing="0" w:after="0" w:afterAutospacing="0"/>
        <w:jc w:val="both"/>
        <w:rPr>
          <w:b/>
          <w:color w:val="000000"/>
          <w:u w:val="single"/>
        </w:rPr>
      </w:pPr>
    </w:p>
    <w:p w:rsidR="00DB2B0C" w:rsidRPr="00804175" w:rsidRDefault="00DB2B0C" w:rsidP="00DB2B0C">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DB2B0C" w:rsidRPr="00804175" w:rsidRDefault="00DB2B0C" w:rsidP="00DB2B0C">
      <w:pPr>
        <w:pStyle w:val="NormalWeb"/>
        <w:numPr>
          <w:ilvl w:val="0"/>
          <w:numId w:val="18"/>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DB2B0C" w:rsidRPr="00804175" w:rsidRDefault="00DB2B0C" w:rsidP="00DB2B0C">
      <w:pPr>
        <w:pStyle w:val="NormalWeb"/>
        <w:numPr>
          <w:ilvl w:val="0"/>
          <w:numId w:val="18"/>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DB2B0C" w:rsidRPr="00804175" w:rsidRDefault="00DB2B0C" w:rsidP="00DB2B0C">
      <w:pPr>
        <w:pStyle w:val="NormalWeb"/>
        <w:numPr>
          <w:ilvl w:val="0"/>
          <w:numId w:val="18"/>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DB2B0C" w:rsidRPr="00804175" w:rsidRDefault="00DB2B0C" w:rsidP="00DB2B0C">
      <w:pPr>
        <w:pStyle w:val="NormalWeb"/>
        <w:numPr>
          <w:ilvl w:val="0"/>
          <w:numId w:val="18"/>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DB2B0C" w:rsidRPr="00804175" w:rsidRDefault="00DB2B0C" w:rsidP="00DB2B0C">
      <w:pPr>
        <w:pStyle w:val="NormalWeb"/>
        <w:numPr>
          <w:ilvl w:val="0"/>
          <w:numId w:val="18"/>
        </w:numPr>
        <w:shd w:val="clear" w:color="auto" w:fill="FFFFFF"/>
        <w:spacing w:before="0" w:beforeAutospacing="0" w:after="0" w:afterAutospacing="0"/>
        <w:jc w:val="both"/>
        <w:rPr>
          <w:color w:val="000000"/>
        </w:rPr>
      </w:pPr>
      <w:r w:rsidRPr="00804175">
        <w:rPr>
          <w:color w:val="000000"/>
        </w:rPr>
        <w:t>21 such varieties of rice, peas, millet, maize, soyabean, quinoa, buckwheat, winged bean, pigeon pea &amp; sorghum will be dedicated to the nation.</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DB2B0C" w:rsidRPr="00804175" w:rsidRDefault="00DB2B0C" w:rsidP="00DB2B0C">
      <w:pPr>
        <w:pStyle w:val="NormalWeb"/>
        <w:numPr>
          <w:ilvl w:val="0"/>
          <w:numId w:val="19"/>
        </w:numPr>
        <w:shd w:val="clear" w:color="auto" w:fill="FFFFFF"/>
        <w:spacing w:before="0" w:beforeAutospacing="0" w:after="0" w:afterAutospacing="0"/>
        <w:jc w:val="both"/>
        <w:rPr>
          <w:color w:val="000000"/>
        </w:rPr>
      </w:pPr>
      <w:r w:rsidRPr="00804175">
        <w:rPr>
          <w:color w:val="000000"/>
        </w:rPr>
        <w:t>Established in 1982 to support farmers of North East in getting remunerative prices of agri-horticulture produces</w:t>
      </w:r>
    </w:p>
    <w:p w:rsidR="00DB2B0C" w:rsidRPr="00804175" w:rsidRDefault="00DB2B0C" w:rsidP="00DB2B0C">
      <w:pPr>
        <w:pStyle w:val="NormalWeb"/>
        <w:numPr>
          <w:ilvl w:val="0"/>
          <w:numId w:val="19"/>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DB2B0C" w:rsidRPr="00804175" w:rsidRDefault="00DB2B0C" w:rsidP="00DB2B0C">
      <w:pPr>
        <w:pStyle w:val="NormalWeb"/>
        <w:numPr>
          <w:ilvl w:val="0"/>
          <w:numId w:val="19"/>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DB2B0C" w:rsidRPr="00804175" w:rsidRDefault="00DB2B0C" w:rsidP="00DB2B0C">
      <w:pPr>
        <w:pStyle w:val="NormalWeb"/>
        <w:numPr>
          <w:ilvl w:val="0"/>
          <w:numId w:val="19"/>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DB2B0C" w:rsidRPr="00804175" w:rsidRDefault="00DB2B0C" w:rsidP="00DB2B0C">
      <w:pPr>
        <w:pStyle w:val="NormalWeb"/>
        <w:numPr>
          <w:ilvl w:val="0"/>
          <w:numId w:val="19"/>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DB2B0C" w:rsidRPr="00804175" w:rsidRDefault="00DB2B0C" w:rsidP="00DB2B0C">
      <w:pPr>
        <w:pStyle w:val="NormalWeb"/>
        <w:numPr>
          <w:ilvl w:val="0"/>
          <w:numId w:val="19"/>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DB2B0C" w:rsidRPr="00804175" w:rsidRDefault="00DB2B0C" w:rsidP="00DB2B0C">
      <w:pPr>
        <w:pStyle w:val="NormalWeb"/>
        <w:numPr>
          <w:ilvl w:val="0"/>
          <w:numId w:val="19"/>
        </w:numPr>
        <w:shd w:val="clear" w:color="auto" w:fill="FFFFFF"/>
        <w:spacing w:before="0" w:beforeAutospacing="0" w:after="0" w:afterAutospacing="0"/>
        <w:jc w:val="both"/>
        <w:rPr>
          <w:color w:val="000000"/>
        </w:rPr>
      </w:pPr>
      <w:r w:rsidRPr="00804175">
        <w:rPr>
          <w:color w:val="000000"/>
        </w:rPr>
        <w:t>Revival package of Rs 77.45 cr proposed for financial restructuring and infusion of funds to NERAMAC</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Pr>
          <w:b/>
          <w:color w:val="000000"/>
        </w:rPr>
        <w:lastRenderedPageBreak/>
        <w:t xml:space="preserve">XII. </w:t>
      </w:r>
      <w:r w:rsidRPr="00804175">
        <w:rPr>
          <w:b/>
          <w:color w:val="000000"/>
        </w:rPr>
        <w:t>Rs 33,000 Crore Boost for Project Exports through National Export Insurance Account (NEIA)</w:t>
      </w:r>
    </w:p>
    <w:p w:rsidR="00DB2B0C" w:rsidRPr="00804175" w:rsidRDefault="00DB2B0C" w:rsidP="00DB2B0C">
      <w:pPr>
        <w:pStyle w:val="NormalWeb"/>
        <w:numPr>
          <w:ilvl w:val="0"/>
          <w:numId w:val="20"/>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DB2B0C" w:rsidRPr="00804175" w:rsidRDefault="00DB2B0C" w:rsidP="00DB2B0C">
      <w:pPr>
        <w:pStyle w:val="NormalWeb"/>
        <w:numPr>
          <w:ilvl w:val="0"/>
          <w:numId w:val="20"/>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DB2B0C" w:rsidRPr="00804175" w:rsidRDefault="00DB2B0C" w:rsidP="00DB2B0C">
      <w:pPr>
        <w:pStyle w:val="NormalWeb"/>
        <w:numPr>
          <w:ilvl w:val="0"/>
          <w:numId w:val="20"/>
        </w:numPr>
        <w:shd w:val="clear" w:color="auto" w:fill="FFFFFF"/>
        <w:spacing w:before="0" w:beforeAutospacing="0" w:after="0" w:afterAutospacing="0"/>
        <w:jc w:val="both"/>
        <w:rPr>
          <w:color w:val="000000"/>
        </w:rPr>
      </w:pPr>
      <w:r w:rsidRPr="00804175">
        <w:rPr>
          <w:color w:val="000000"/>
        </w:rPr>
        <w:t xml:space="preserve">NEIA Trust has supported 211 projects of Rs 52,860 cr in 52 countries by 63 different Indian Project Exporters till March 31, 2021 </w:t>
      </w:r>
    </w:p>
    <w:p w:rsidR="00DB2B0C" w:rsidRPr="00804175" w:rsidRDefault="00DB2B0C" w:rsidP="00DB2B0C">
      <w:pPr>
        <w:pStyle w:val="NormalWeb"/>
        <w:numPr>
          <w:ilvl w:val="0"/>
          <w:numId w:val="20"/>
        </w:numPr>
        <w:shd w:val="clear" w:color="auto" w:fill="FFFFFF"/>
        <w:spacing w:before="0" w:beforeAutospacing="0" w:after="0" w:afterAutospacing="0"/>
        <w:jc w:val="both"/>
        <w:rPr>
          <w:color w:val="000000"/>
        </w:rPr>
      </w:pPr>
      <w:r w:rsidRPr="00804175">
        <w:rPr>
          <w:color w:val="000000"/>
        </w:rPr>
        <w:t>Proposed to provide additional corpus to NEIA over 5 years to allow it to underwrite additional Rs. 33,000 crores of project exports</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Pr>
          <w:b/>
          <w:color w:val="000000"/>
        </w:rPr>
        <w:t xml:space="preserve">XIII. </w:t>
      </w:r>
      <w:r w:rsidRPr="00804175">
        <w:rPr>
          <w:b/>
          <w:color w:val="000000"/>
        </w:rPr>
        <w:t>Rs. 88,000 crore Boost to Export Insurance Cover</w:t>
      </w:r>
    </w:p>
    <w:p w:rsidR="00DB2B0C" w:rsidRPr="00804175" w:rsidRDefault="00DB2B0C" w:rsidP="00DB2B0C">
      <w:pPr>
        <w:pStyle w:val="NormalWeb"/>
        <w:numPr>
          <w:ilvl w:val="0"/>
          <w:numId w:val="21"/>
        </w:numPr>
        <w:shd w:val="clear" w:color="auto" w:fill="FFFFFF"/>
        <w:spacing w:before="0" w:beforeAutospacing="0" w:after="0" w:afterAutospacing="0"/>
        <w:jc w:val="both"/>
        <w:rPr>
          <w:color w:val="000000"/>
        </w:rPr>
      </w:pPr>
      <w:r w:rsidRPr="00804175">
        <w:rPr>
          <w:color w:val="000000"/>
        </w:rPr>
        <w:t xml:space="preserve">Export Credit Guarantee Corporation (ECGC) promotes exports by providing credit insurance services. </w:t>
      </w:r>
    </w:p>
    <w:p w:rsidR="00DB2B0C" w:rsidRPr="00E73A66" w:rsidRDefault="00DB2B0C" w:rsidP="00DB2B0C">
      <w:pPr>
        <w:pStyle w:val="NormalWeb"/>
        <w:numPr>
          <w:ilvl w:val="0"/>
          <w:numId w:val="21"/>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DB2B0C" w:rsidRPr="00804175" w:rsidRDefault="00DB2B0C" w:rsidP="00DB2B0C">
      <w:pPr>
        <w:pStyle w:val="NormalWeb"/>
        <w:numPr>
          <w:ilvl w:val="0"/>
          <w:numId w:val="21"/>
        </w:numPr>
        <w:shd w:val="clear" w:color="auto" w:fill="FFFFFF"/>
        <w:spacing w:before="0" w:beforeAutospacing="0" w:after="0" w:afterAutospacing="0"/>
        <w:jc w:val="both"/>
        <w:rPr>
          <w:color w:val="000000"/>
        </w:rPr>
      </w:pPr>
      <w:r w:rsidRPr="00804175">
        <w:rPr>
          <w:color w:val="000000"/>
        </w:rPr>
        <w:t>Proposed to infuse equity in ECGC over 5 years to boost export insurance cover by Rs. 88,000 cr</w:t>
      </w:r>
    </w:p>
    <w:p w:rsidR="00DB2B0C" w:rsidRDefault="00DB2B0C" w:rsidP="00DB2B0C">
      <w:pPr>
        <w:pStyle w:val="NormalWeb"/>
        <w:shd w:val="clear" w:color="auto" w:fill="FFFFFF"/>
        <w:spacing w:before="0" w:beforeAutospacing="0" w:after="0" w:afterAutospacing="0"/>
        <w:jc w:val="both"/>
        <w:rPr>
          <w:color w:val="000000"/>
        </w:rPr>
      </w:pPr>
    </w:p>
    <w:p w:rsidR="00DB2B0C" w:rsidRPr="00E73A66" w:rsidRDefault="00DB2B0C" w:rsidP="00DB2B0C">
      <w:pPr>
        <w:pStyle w:val="NormalWeb"/>
        <w:shd w:val="clear" w:color="auto" w:fill="FFFFFF"/>
        <w:spacing w:before="0" w:beforeAutospacing="0" w:after="0" w:afterAutospacing="0"/>
        <w:jc w:val="both"/>
        <w:rPr>
          <w:color w:val="000000"/>
        </w:rPr>
      </w:pPr>
      <w:r w:rsidRPr="00804175">
        <w:rPr>
          <w:b/>
          <w:color w:val="000000"/>
        </w:rPr>
        <w:t>XIV. Digital India: Rs. 19041 Cr for Broadband to each Village through</w:t>
      </w:r>
      <w:r>
        <w:rPr>
          <w:b/>
          <w:color w:val="000000"/>
        </w:rPr>
        <w:t xml:space="preserve"> </w:t>
      </w:r>
      <w:r w:rsidRPr="00804175">
        <w:rPr>
          <w:b/>
          <w:color w:val="000000"/>
        </w:rPr>
        <w:t>BharatNet PPP Model</w:t>
      </w:r>
    </w:p>
    <w:p w:rsidR="00DB2B0C" w:rsidRPr="00804175" w:rsidRDefault="00DB2B0C" w:rsidP="00DB2B0C">
      <w:pPr>
        <w:pStyle w:val="NormalWeb"/>
        <w:numPr>
          <w:ilvl w:val="0"/>
          <w:numId w:val="22"/>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DB2B0C" w:rsidRPr="00804175" w:rsidRDefault="00DB2B0C" w:rsidP="00DB2B0C">
      <w:pPr>
        <w:pStyle w:val="NormalWeb"/>
        <w:numPr>
          <w:ilvl w:val="0"/>
          <w:numId w:val="22"/>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DB2B0C" w:rsidRPr="00804175" w:rsidRDefault="00DB2B0C" w:rsidP="00DB2B0C">
      <w:pPr>
        <w:pStyle w:val="NormalWeb"/>
        <w:numPr>
          <w:ilvl w:val="0"/>
          <w:numId w:val="22"/>
        </w:numPr>
        <w:shd w:val="clear" w:color="auto" w:fill="FFFFFF"/>
        <w:spacing w:before="0" w:beforeAutospacing="0" w:after="0" w:afterAutospacing="0"/>
        <w:jc w:val="both"/>
        <w:rPr>
          <w:color w:val="000000"/>
        </w:rPr>
      </w:pPr>
      <w:r w:rsidRPr="00804175">
        <w:rPr>
          <w:color w:val="000000"/>
        </w:rPr>
        <w:t>Implementation of BharatNet in PPP model in 16 States (bundled into 9 packages) on viability gap funding basis</w:t>
      </w:r>
    </w:p>
    <w:p w:rsidR="00DB2B0C" w:rsidRPr="00E73A66" w:rsidRDefault="00DB2B0C" w:rsidP="00DB2B0C">
      <w:pPr>
        <w:pStyle w:val="NormalWeb"/>
        <w:numPr>
          <w:ilvl w:val="0"/>
          <w:numId w:val="22"/>
        </w:numPr>
        <w:shd w:val="clear" w:color="auto" w:fill="FFFFFF"/>
        <w:spacing w:before="0" w:beforeAutospacing="0" w:after="0" w:afterAutospacing="0"/>
        <w:jc w:val="both"/>
        <w:rPr>
          <w:color w:val="000000"/>
        </w:rPr>
      </w:pPr>
      <w:r w:rsidRPr="00E73A66">
        <w:rPr>
          <w:color w:val="000000"/>
        </w:rPr>
        <w:t xml:space="preserve">Additional Rs. 19,041 Cr being provided for BharatNet </w:t>
      </w:r>
    </w:p>
    <w:p w:rsidR="00DB2B0C" w:rsidRPr="00804175" w:rsidRDefault="00DB2B0C" w:rsidP="00DB2B0C">
      <w:pPr>
        <w:pStyle w:val="NormalWeb"/>
        <w:numPr>
          <w:ilvl w:val="0"/>
          <w:numId w:val="22"/>
        </w:numPr>
        <w:shd w:val="clear" w:color="auto" w:fill="FFFFFF"/>
        <w:spacing w:before="0" w:beforeAutospacing="0" w:after="0" w:afterAutospacing="0"/>
        <w:jc w:val="both"/>
        <w:rPr>
          <w:color w:val="000000"/>
        </w:rPr>
      </w:pPr>
      <w:r w:rsidRPr="00804175">
        <w:rPr>
          <w:color w:val="000000"/>
        </w:rPr>
        <w:t>Total outlay will be Rs. 61,109 crores including already approved amount of Rs. 42,068 crores in 2017</w:t>
      </w:r>
    </w:p>
    <w:p w:rsidR="00DB2B0C" w:rsidRPr="00804175" w:rsidRDefault="00DB2B0C" w:rsidP="00DB2B0C">
      <w:pPr>
        <w:pStyle w:val="NormalWeb"/>
        <w:numPr>
          <w:ilvl w:val="0"/>
          <w:numId w:val="22"/>
        </w:numPr>
        <w:shd w:val="clear" w:color="auto" w:fill="FFFFFF"/>
        <w:spacing w:before="0" w:beforeAutospacing="0" w:after="0" w:afterAutospacing="0"/>
        <w:jc w:val="both"/>
        <w:rPr>
          <w:color w:val="000000"/>
        </w:rPr>
      </w:pPr>
      <w:r w:rsidRPr="00804175">
        <w:rPr>
          <w:color w:val="000000"/>
        </w:rPr>
        <w:t>Expansion and upgradation of BharatNet to cover all Gram Panchayats and inhabited villages</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DB2B0C" w:rsidRPr="00804175" w:rsidRDefault="00DB2B0C" w:rsidP="00DB2B0C">
      <w:pPr>
        <w:pStyle w:val="NormalWeb"/>
        <w:numPr>
          <w:ilvl w:val="0"/>
          <w:numId w:val="23"/>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DB2B0C" w:rsidRPr="00E73A66" w:rsidRDefault="00DB2B0C" w:rsidP="00DB2B0C">
      <w:pPr>
        <w:pStyle w:val="NormalWeb"/>
        <w:numPr>
          <w:ilvl w:val="0"/>
          <w:numId w:val="23"/>
        </w:numPr>
        <w:shd w:val="clear" w:color="auto" w:fill="FFFFFF"/>
        <w:spacing w:before="0" w:beforeAutospacing="0" w:after="0" w:afterAutospacing="0"/>
        <w:jc w:val="both"/>
        <w:rPr>
          <w:color w:val="000000"/>
        </w:rPr>
      </w:pPr>
      <w:r w:rsidRPr="00E73A66">
        <w:rPr>
          <w:color w:val="000000"/>
        </w:rPr>
        <w:t>Incentives applicable from 01.08.2020. Base year 2019-20</w:t>
      </w:r>
    </w:p>
    <w:p w:rsidR="00DB2B0C" w:rsidRPr="00E73A66" w:rsidRDefault="00DB2B0C" w:rsidP="00DB2B0C">
      <w:pPr>
        <w:pStyle w:val="NormalWeb"/>
        <w:numPr>
          <w:ilvl w:val="0"/>
          <w:numId w:val="23"/>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DB2B0C" w:rsidRPr="00E73A66" w:rsidRDefault="00DB2B0C" w:rsidP="00DB2B0C">
      <w:pPr>
        <w:pStyle w:val="NormalWeb"/>
        <w:numPr>
          <w:ilvl w:val="1"/>
          <w:numId w:val="23"/>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DB2B0C" w:rsidRPr="00E73A66" w:rsidRDefault="00DB2B0C" w:rsidP="00DB2B0C">
      <w:pPr>
        <w:pStyle w:val="NormalWeb"/>
        <w:numPr>
          <w:ilvl w:val="1"/>
          <w:numId w:val="23"/>
        </w:numPr>
        <w:shd w:val="clear" w:color="auto" w:fill="FFFFFF"/>
        <w:spacing w:before="0" w:beforeAutospacing="0" w:after="0" w:afterAutospacing="0"/>
        <w:jc w:val="both"/>
        <w:rPr>
          <w:color w:val="000000"/>
        </w:rPr>
      </w:pPr>
      <w:r w:rsidRPr="00E73A66">
        <w:rPr>
          <w:color w:val="000000"/>
        </w:rPr>
        <w:t>restrictions on movement of personnel</w:t>
      </w:r>
    </w:p>
    <w:p w:rsidR="00DB2B0C" w:rsidRPr="00E73A66" w:rsidRDefault="00DB2B0C" w:rsidP="00DB2B0C">
      <w:pPr>
        <w:pStyle w:val="NormalWeb"/>
        <w:numPr>
          <w:ilvl w:val="1"/>
          <w:numId w:val="23"/>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DB2B0C" w:rsidRPr="00E73A66" w:rsidRDefault="00DB2B0C" w:rsidP="00DB2B0C">
      <w:pPr>
        <w:pStyle w:val="NormalWeb"/>
        <w:numPr>
          <w:ilvl w:val="1"/>
          <w:numId w:val="23"/>
        </w:numPr>
        <w:shd w:val="clear" w:color="auto" w:fill="FFFFFF"/>
        <w:spacing w:before="0" w:beforeAutospacing="0" w:after="0" w:afterAutospacing="0"/>
        <w:jc w:val="both"/>
        <w:rPr>
          <w:color w:val="000000"/>
        </w:rPr>
      </w:pPr>
      <w:r w:rsidRPr="00E73A66">
        <w:rPr>
          <w:color w:val="000000"/>
        </w:rPr>
        <w:t>disruption in supply chain of components</w:t>
      </w:r>
    </w:p>
    <w:p w:rsidR="00DB2B0C" w:rsidRPr="00804175" w:rsidRDefault="00DB2B0C" w:rsidP="00DB2B0C">
      <w:pPr>
        <w:pStyle w:val="NormalWeb"/>
        <w:numPr>
          <w:ilvl w:val="0"/>
          <w:numId w:val="23"/>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DB2B0C" w:rsidRPr="00804175" w:rsidRDefault="00DB2B0C" w:rsidP="00DB2B0C">
      <w:pPr>
        <w:pStyle w:val="NormalWeb"/>
        <w:numPr>
          <w:ilvl w:val="0"/>
          <w:numId w:val="23"/>
        </w:numPr>
        <w:shd w:val="clear" w:color="auto" w:fill="FFFFFF"/>
        <w:spacing w:before="0" w:beforeAutospacing="0" w:after="0" w:afterAutospacing="0"/>
        <w:jc w:val="both"/>
        <w:rPr>
          <w:color w:val="000000"/>
        </w:rPr>
      </w:pPr>
      <w:r w:rsidRPr="00804175">
        <w:rPr>
          <w:color w:val="000000"/>
        </w:rPr>
        <w:t>Participating companies will get option of choosing any five years for meeting their production targets under the scheme.</w:t>
      </w:r>
    </w:p>
    <w:p w:rsidR="00DB2B0C" w:rsidRPr="00804175" w:rsidRDefault="00DB2B0C" w:rsidP="00DB2B0C">
      <w:pPr>
        <w:pStyle w:val="NormalWeb"/>
        <w:numPr>
          <w:ilvl w:val="0"/>
          <w:numId w:val="23"/>
        </w:numPr>
        <w:shd w:val="clear" w:color="auto" w:fill="FFFFFF"/>
        <w:spacing w:before="0" w:beforeAutospacing="0" w:after="0" w:afterAutospacing="0"/>
        <w:jc w:val="both"/>
        <w:rPr>
          <w:color w:val="000000"/>
        </w:rPr>
      </w:pPr>
      <w:r w:rsidRPr="00804175">
        <w:rPr>
          <w:color w:val="000000"/>
        </w:rPr>
        <w:lastRenderedPageBreak/>
        <w:t>Investments made in 2020-21 will continue to be counted as eligible investments</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sidRPr="00804175">
        <w:rPr>
          <w:b/>
          <w:color w:val="000000"/>
        </w:rPr>
        <w:t>Rs 3.03 Lakh Cr for Reform Based Result Linked Power Distribution Scheme</w:t>
      </w:r>
    </w:p>
    <w:p w:rsidR="00DB2B0C" w:rsidRPr="00804175" w:rsidRDefault="00DB2B0C" w:rsidP="00DB2B0C">
      <w:pPr>
        <w:pStyle w:val="NormalWeb"/>
        <w:numPr>
          <w:ilvl w:val="0"/>
          <w:numId w:val="24"/>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DB2B0C" w:rsidRPr="00E73A66" w:rsidRDefault="00DB2B0C" w:rsidP="00DB2B0C">
      <w:pPr>
        <w:pStyle w:val="NormalWeb"/>
        <w:numPr>
          <w:ilvl w:val="0"/>
          <w:numId w:val="24"/>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DB2B0C" w:rsidRPr="00804175" w:rsidRDefault="00DB2B0C" w:rsidP="00DB2B0C">
      <w:pPr>
        <w:pStyle w:val="NormalWeb"/>
        <w:numPr>
          <w:ilvl w:val="0"/>
          <w:numId w:val="24"/>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DB2B0C" w:rsidRDefault="00DB2B0C" w:rsidP="00DB2B0C">
      <w:pPr>
        <w:pStyle w:val="NormalWeb"/>
        <w:numPr>
          <w:ilvl w:val="0"/>
          <w:numId w:val="24"/>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DB2B0C" w:rsidRPr="00804175" w:rsidRDefault="00DB2B0C" w:rsidP="00DB2B0C">
      <w:pPr>
        <w:pStyle w:val="NormalWeb"/>
        <w:numPr>
          <w:ilvl w:val="0"/>
          <w:numId w:val="24"/>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DB2B0C" w:rsidRPr="00E73A66" w:rsidRDefault="00DB2B0C" w:rsidP="00DB2B0C">
      <w:pPr>
        <w:pStyle w:val="NormalWeb"/>
        <w:numPr>
          <w:ilvl w:val="0"/>
          <w:numId w:val="24"/>
        </w:numPr>
        <w:shd w:val="clear" w:color="auto" w:fill="FFFFFF"/>
        <w:spacing w:before="0" w:beforeAutospacing="0" w:after="0" w:afterAutospacing="0"/>
        <w:jc w:val="both"/>
        <w:rPr>
          <w:color w:val="000000"/>
        </w:rPr>
      </w:pPr>
      <w:r w:rsidRPr="00E73A66">
        <w:rPr>
          <w:color w:val="000000"/>
        </w:rPr>
        <w:t>Total allocation- Rs.3,03,058 Cr, Central share- Rs.</w:t>
      </w:r>
      <w:r>
        <w:rPr>
          <w:color w:val="000000"/>
        </w:rPr>
        <w:t xml:space="preserve"> </w:t>
      </w:r>
      <w:r w:rsidRPr="00E73A66">
        <w:rPr>
          <w:color w:val="000000"/>
        </w:rPr>
        <w:t>97,631 cr</w:t>
      </w:r>
    </w:p>
    <w:p w:rsidR="00DB2B0C" w:rsidRPr="00804175" w:rsidRDefault="00DB2B0C" w:rsidP="00DB2B0C">
      <w:pPr>
        <w:pStyle w:val="NormalWeb"/>
        <w:numPr>
          <w:ilvl w:val="0"/>
          <w:numId w:val="24"/>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(Rs</w:t>
      </w:r>
      <w:r>
        <w:rPr>
          <w:color w:val="000000"/>
        </w:rPr>
        <w:t>.</w:t>
      </w:r>
      <w:r w:rsidRPr="00804175">
        <w:rPr>
          <w:color w:val="000000"/>
        </w:rPr>
        <w:t xml:space="preserve"> 1,05,864 Cr for 2021-22) subject to carrying out specified power sector reforms</w:t>
      </w:r>
    </w:p>
    <w:p w:rsidR="00DB2B0C" w:rsidRDefault="00DB2B0C" w:rsidP="00DB2B0C">
      <w:pPr>
        <w:pStyle w:val="NormalWeb"/>
        <w:shd w:val="clear" w:color="auto" w:fill="FFFFFF"/>
        <w:spacing w:before="0" w:beforeAutospacing="0" w:after="0" w:afterAutospacing="0"/>
        <w:jc w:val="both"/>
        <w:rPr>
          <w:color w:val="000000"/>
        </w:rPr>
      </w:pPr>
    </w:p>
    <w:p w:rsidR="00DB2B0C" w:rsidRPr="00804175" w:rsidRDefault="00DB2B0C" w:rsidP="00DB2B0C">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DB2B0C" w:rsidRPr="00804175" w:rsidRDefault="00DB2B0C" w:rsidP="00DB2B0C">
      <w:pPr>
        <w:pStyle w:val="NormalWeb"/>
        <w:numPr>
          <w:ilvl w:val="0"/>
          <w:numId w:val="25"/>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DB2B0C" w:rsidRPr="00804175" w:rsidRDefault="00DB2B0C" w:rsidP="00DB2B0C">
      <w:pPr>
        <w:pStyle w:val="NormalWeb"/>
        <w:numPr>
          <w:ilvl w:val="0"/>
          <w:numId w:val="25"/>
        </w:numPr>
        <w:shd w:val="clear" w:color="auto" w:fill="FFFFFF"/>
        <w:spacing w:before="0" w:beforeAutospacing="0" w:after="0" w:afterAutospacing="0"/>
        <w:jc w:val="both"/>
        <w:rPr>
          <w:color w:val="000000"/>
        </w:rPr>
      </w:pPr>
      <w:r w:rsidRPr="00804175">
        <w:rPr>
          <w:color w:val="000000"/>
        </w:rPr>
        <w:t>New policy will be formulated for appraisal and approval of PPP proposals and monetization of core infrastructure assets, including through InvITs</w:t>
      </w:r>
    </w:p>
    <w:p w:rsidR="00DB2B0C" w:rsidRDefault="00DB2B0C" w:rsidP="00DB2B0C">
      <w:pPr>
        <w:pStyle w:val="NormalWeb"/>
        <w:numPr>
          <w:ilvl w:val="0"/>
          <w:numId w:val="25"/>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DB2B0C" w:rsidRDefault="00DB2B0C" w:rsidP="00DB2B0C">
      <w:pPr>
        <w:pStyle w:val="NormalWeb"/>
        <w:pBdr>
          <w:bottom w:val="single" w:sz="12" w:space="1" w:color="auto"/>
        </w:pBdr>
        <w:shd w:val="clear" w:color="auto" w:fill="FFFFFF"/>
        <w:spacing w:before="0" w:beforeAutospacing="0" w:after="0" w:afterAutospacing="0"/>
        <w:ind w:left="360"/>
        <w:jc w:val="both"/>
        <w:rPr>
          <w:color w:val="000000"/>
        </w:rPr>
      </w:pPr>
    </w:p>
    <w:p w:rsidR="00DB2B0C" w:rsidRDefault="00DB2B0C" w:rsidP="00DB2B0C">
      <w:pPr>
        <w:rPr>
          <w:rFonts w:ascii="Times New Roman" w:eastAsia="Times New Roman" w:hAnsi="Times New Roman" w:cs="Times New Roman"/>
          <w:b/>
          <w:color w:val="000000"/>
          <w:sz w:val="24"/>
          <w:szCs w:val="24"/>
          <w:lang w:eastAsia="en-IN"/>
        </w:rPr>
      </w:pPr>
      <w:r>
        <w:rPr>
          <w:b/>
          <w:color w:val="000000"/>
        </w:rPr>
        <w:br w:type="page"/>
      </w:r>
    </w:p>
    <w:p w:rsidR="00EB42E1" w:rsidRPr="00BE0E8C" w:rsidRDefault="00EB42E1" w:rsidP="00EB42E1">
      <w:pPr>
        <w:pStyle w:val="NormalWeb"/>
        <w:shd w:val="clear" w:color="auto" w:fill="FFFFFF"/>
        <w:spacing w:before="0" w:beforeAutospacing="0" w:after="0" w:afterAutospacing="0"/>
        <w:jc w:val="both"/>
        <w:rPr>
          <w:color w:val="000000"/>
        </w:rPr>
      </w:pPr>
      <w:bookmarkStart w:id="0" w:name="_GoBack"/>
      <w:bookmarkEnd w:id="0"/>
    </w:p>
    <w:p w:rsidR="00AB153A" w:rsidRDefault="00AB153A" w:rsidP="00AB153A">
      <w:pPr>
        <w:pStyle w:val="NormalWeb"/>
        <w:shd w:val="clear" w:color="auto" w:fill="FFFFFF"/>
        <w:spacing w:before="0" w:beforeAutospacing="0" w:after="0" w:afterAutospacing="0"/>
        <w:jc w:val="both"/>
        <w:rPr>
          <w:b/>
          <w:bCs/>
          <w:color w:val="000000"/>
        </w:rPr>
      </w:pPr>
    </w:p>
    <w:p w:rsidR="00AB153A" w:rsidRDefault="00AB153A" w:rsidP="00AB153A">
      <w:pPr>
        <w:pStyle w:val="NormalWeb"/>
        <w:shd w:val="clear" w:color="auto" w:fill="FFFFFF"/>
        <w:spacing w:before="0" w:beforeAutospacing="0" w:after="0" w:afterAutospacing="0"/>
        <w:jc w:val="both"/>
        <w:rPr>
          <w:bCs/>
          <w:color w:val="000000"/>
        </w:rPr>
      </w:pPr>
    </w:p>
    <w:p w:rsidR="00EF3593" w:rsidRPr="00C760EA" w:rsidRDefault="00EF3593" w:rsidP="00EF3593">
      <w:pPr>
        <w:pStyle w:val="NormalWeb"/>
        <w:shd w:val="clear" w:color="auto" w:fill="FFFFFF"/>
        <w:spacing w:before="0" w:beforeAutospacing="0" w:after="0" w:afterAutospacing="0"/>
        <w:jc w:val="both"/>
        <w:rPr>
          <w:color w:val="000000"/>
        </w:rPr>
      </w:pPr>
    </w:p>
    <w:p w:rsidR="002A4289" w:rsidRDefault="002A4289" w:rsidP="002A4289">
      <w:pPr>
        <w:pStyle w:val="NormalWeb"/>
        <w:shd w:val="clear" w:color="auto" w:fill="FFFFFF"/>
        <w:spacing w:before="0" w:beforeAutospacing="0" w:after="0" w:afterAutospacing="0"/>
        <w:jc w:val="both"/>
        <w:rPr>
          <w:b/>
          <w:bCs/>
          <w:color w:val="000000"/>
        </w:rPr>
      </w:pPr>
    </w:p>
    <w:p w:rsidR="00E75481" w:rsidRPr="00C760EA" w:rsidRDefault="00E75481" w:rsidP="00E75481">
      <w:pPr>
        <w:pStyle w:val="NormalWeb"/>
        <w:shd w:val="clear" w:color="auto" w:fill="FFFFFF"/>
        <w:spacing w:before="0" w:beforeAutospacing="0" w:after="0" w:afterAutospacing="0"/>
        <w:jc w:val="both"/>
        <w:rPr>
          <w:color w:val="000000"/>
        </w:rPr>
      </w:pPr>
    </w:p>
    <w:p w:rsidR="00E75481" w:rsidRPr="00C760EA" w:rsidRDefault="00E75481" w:rsidP="00E75481">
      <w:pPr>
        <w:pStyle w:val="NormalWeb"/>
        <w:shd w:val="clear" w:color="auto" w:fill="FFFFFF"/>
        <w:spacing w:before="0" w:beforeAutospacing="0" w:after="0" w:afterAutospacing="0"/>
        <w:jc w:val="both"/>
        <w:rPr>
          <w:b/>
          <w:bCs/>
          <w:color w:val="000000"/>
        </w:rPr>
      </w:pPr>
    </w:p>
    <w:p w:rsidR="00174F55" w:rsidRPr="00174F55" w:rsidRDefault="00174F55">
      <w:pPr>
        <w:rPr>
          <w:b/>
          <w:color w:val="2E74B5" w:themeColor="accent1" w:themeShade="BF"/>
        </w:rPr>
      </w:pPr>
    </w:p>
    <w:sectPr w:rsidR="00174F55" w:rsidRPr="00174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7E7"/>
    <w:multiLevelType w:val="multilevel"/>
    <w:tmpl w:val="B8D2C8C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A56459"/>
    <w:multiLevelType w:val="hybridMultilevel"/>
    <w:tmpl w:val="D52E04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E5056D1"/>
    <w:multiLevelType w:val="multilevel"/>
    <w:tmpl w:val="A378A7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C07F5D"/>
    <w:multiLevelType w:val="hybridMultilevel"/>
    <w:tmpl w:val="BDDC49C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BDC3695"/>
    <w:multiLevelType w:val="multilevel"/>
    <w:tmpl w:val="5AF254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746146F"/>
    <w:multiLevelType w:val="hybridMultilevel"/>
    <w:tmpl w:val="2B88510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0"/>
  </w:num>
  <w:num w:numId="4">
    <w:abstractNumId w:val="18"/>
  </w:num>
  <w:num w:numId="5">
    <w:abstractNumId w:val="9"/>
  </w:num>
  <w:num w:numId="6">
    <w:abstractNumId w:val="23"/>
  </w:num>
  <w:num w:numId="7">
    <w:abstractNumId w:val="17"/>
  </w:num>
  <w:num w:numId="8">
    <w:abstractNumId w:val="7"/>
  </w:num>
  <w:num w:numId="9">
    <w:abstractNumId w:val="22"/>
  </w:num>
  <w:num w:numId="10">
    <w:abstractNumId w:val="13"/>
  </w:num>
  <w:num w:numId="11">
    <w:abstractNumId w:val="3"/>
  </w:num>
  <w:num w:numId="12">
    <w:abstractNumId w:val="14"/>
  </w:num>
  <w:num w:numId="13">
    <w:abstractNumId w:val="12"/>
  </w:num>
  <w:num w:numId="14">
    <w:abstractNumId w:val="19"/>
  </w:num>
  <w:num w:numId="15">
    <w:abstractNumId w:val="8"/>
  </w:num>
  <w:num w:numId="16">
    <w:abstractNumId w:val="21"/>
  </w:num>
  <w:num w:numId="17">
    <w:abstractNumId w:val="1"/>
  </w:num>
  <w:num w:numId="18">
    <w:abstractNumId w:val="5"/>
  </w:num>
  <w:num w:numId="19">
    <w:abstractNumId w:val="16"/>
  </w:num>
  <w:num w:numId="20">
    <w:abstractNumId w:val="24"/>
  </w:num>
  <w:num w:numId="21">
    <w:abstractNumId w:val="2"/>
  </w:num>
  <w:num w:numId="22">
    <w:abstractNumId w:val="6"/>
  </w:num>
  <w:num w:numId="23">
    <w:abstractNumId w:val="10"/>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017B7E"/>
    <w:rsid w:val="00174F55"/>
    <w:rsid w:val="002423F3"/>
    <w:rsid w:val="002A4289"/>
    <w:rsid w:val="002F036D"/>
    <w:rsid w:val="00432068"/>
    <w:rsid w:val="0045251B"/>
    <w:rsid w:val="00731C1A"/>
    <w:rsid w:val="00A074A1"/>
    <w:rsid w:val="00A20D26"/>
    <w:rsid w:val="00A939C1"/>
    <w:rsid w:val="00A9777D"/>
    <w:rsid w:val="00AB153A"/>
    <w:rsid w:val="00AF5E14"/>
    <w:rsid w:val="00BF6C68"/>
    <w:rsid w:val="00C26590"/>
    <w:rsid w:val="00D12E6B"/>
    <w:rsid w:val="00DB2B0C"/>
    <w:rsid w:val="00E42839"/>
    <w:rsid w:val="00E75481"/>
    <w:rsid w:val="00EB42E1"/>
    <w:rsid w:val="00EF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3B29"/>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548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E75481"/>
    <w:rPr>
      <w:color w:val="0000FF"/>
      <w:u w:val="single"/>
    </w:rPr>
  </w:style>
  <w:style w:type="character" w:styleId="Emphasis">
    <w:name w:val="Emphasis"/>
    <w:basedOn w:val="DefaultParagraphFont"/>
    <w:uiPriority w:val="20"/>
    <w:qFormat/>
    <w:rsid w:val="00EF3593"/>
    <w:rPr>
      <w:i/>
      <w:iCs/>
    </w:rPr>
  </w:style>
  <w:style w:type="paragraph" w:customStyle="1" w:styleId="head">
    <w:name w:val="head"/>
    <w:basedOn w:val="Normal"/>
    <w:rsid w:val="00AB153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1">
    <w:name w:val="head1"/>
    <w:basedOn w:val="DefaultParagraphFont"/>
    <w:rsid w:val="00EB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0510">
      <w:bodyDiv w:val="1"/>
      <w:marLeft w:val="0"/>
      <w:marRight w:val="0"/>
      <w:marTop w:val="0"/>
      <w:marBottom w:val="0"/>
      <w:divBdr>
        <w:top w:val="none" w:sz="0" w:space="0" w:color="auto"/>
        <w:left w:val="none" w:sz="0" w:space="0" w:color="auto"/>
        <w:bottom w:val="none" w:sz="0" w:space="0" w:color="auto"/>
        <w:right w:val="none" w:sz="0" w:space="0" w:color="auto"/>
      </w:divBdr>
    </w:div>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9170&amp;Mode=0" TargetMode="External"/><Relationship Id="rId18" Type="http://schemas.openxmlformats.org/officeDocument/2006/relationships/hyperlink" Target="https://rbi.org.in/Scripts/NotificationUser.aspx?Id=11941&amp;Mode=0" TargetMode="External"/><Relationship Id="rId26" Type="http://schemas.openxmlformats.org/officeDocument/2006/relationships/hyperlink" Target="https://www.rbi.org.in/Scripts/NotificationUser.aspx?Id=11822&amp;Mode=0" TargetMode="External"/><Relationship Id="rId39" Type="http://schemas.openxmlformats.org/officeDocument/2006/relationships/hyperlink" Target="https://www.rbi.org.in/Scripts/NotificationUser.aspx?Id=12086&amp;Mode=0" TargetMode="External"/><Relationship Id="rId21" Type="http://schemas.openxmlformats.org/officeDocument/2006/relationships/hyperlink" Target="https://www.rbi.org.in/Scripts/NotificationUser.aspx?Id=11693&amp;Mode=0" TargetMode="External"/><Relationship Id="rId34" Type="http://schemas.openxmlformats.org/officeDocument/2006/relationships/hyperlink" Target="https://www.rbi.org.in/Scripts/NotificationUser.aspx?Id=11942&amp;Mode=0" TargetMode="External"/><Relationship Id="rId42" Type="http://schemas.openxmlformats.org/officeDocument/2006/relationships/hyperlink" Target="https://www.rbi.org.in/Scripts/BS_ViewMasCirculardetails.aspx?id=9905" TargetMode="External"/><Relationship Id="rId47" Type="http://schemas.openxmlformats.org/officeDocument/2006/relationships/hyperlink" Target="https://www.rbi.org.in/Scripts/NotificationUser.aspx?Id=12071&amp;Mode=0" TargetMode="External"/><Relationship Id="rId50" Type="http://schemas.openxmlformats.org/officeDocument/2006/relationships/hyperlink" Target="https://www.rbi.org.in/Scripts/NotificationUser.aspx?Id=5657&amp;Mode=0" TargetMode="External"/><Relationship Id="rId55" Type="http://schemas.openxmlformats.org/officeDocument/2006/relationships/hyperlink" Target="https://rbidocs.rbi.org.in/rdocs/content/pdfs/MC12_05042021AN2.pdf" TargetMode="External"/><Relationship Id="rId63" Type="http://schemas.openxmlformats.org/officeDocument/2006/relationships/hyperlink" Target="https://www.rbi.org.in/Scripts/NotificationUser.aspx?Id=12065&amp;Mode=0" TargetMode="External"/><Relationship Id="rId68" Type="http://schemas.openxmlformats.org/officeDocument/2006/relationships/hyperlink" Target="https://rbi.org.in/Scripts/NotificationUser.aspx?Id=11405&amp;Mode=0" TargetMode="External"/><Relationship Id="rId76" Type="http://schemas.openxmlformats.org/officeDocument/2006/relationships/hyperlink" Target="https://rbi.org.in/Scripts/NotificationUser.aspx?Id=10495&amp;Mode=0" TargetMode="External"/><Relationship Id="rId84" Type="http://schemas.openxmlformats.org/officeDocument/2006/relationships/hyperlink" Target="https://www.rbi.org.in/Scripts/BS_PressReleaseDisplay.aspx?prid=51078" TargetMode="External"/><Relationship Id="rId89" Type="http://schemas.openxmlformats.org/officeDocument/2006/relationships/hyperlink" Target="https://www.rbi.org.in/Scripts/NotificationUser.aspx?Id=12017&amp;Mode=0" TargetMode="External"/><Relationship Id="rId7" Type="http://schemas.openxmlformats.org/officeDocument/2006/relationships/hyperlink" Target="https://rbidocs.rbi.org.in/rdocs/content/pdfs/IndianGazzate02072020.pdf" TargetMode="External"/><Relationship Id="rId71" Type="http://schemas.openxmlformats.org/officeDocument/2006/relationships/hyperlink" Target="https://rbi.org.in/Scripts/BS_PressReleaseDisplay.aspx?prid=32615" TargetMode="External"/><Relationship Id="rId92" Type="http://schemas.openxmlformats.org/officeDocument/2006/relationships/hyperlink" Target="https://rbidocs.rbi.org.in/rdocs/Publications/PDFs/PSSBOOKLET93D3AEFDEAF14044BC1BB36662C41A8C.PDF" TargetMode="External"/><Relationship Id="rId2" Type="http://schemas.openxmlformats.org/officeDocument/2006/relationships/styles" Target="styles.xml"/><Relationship Id="rId16" Type="http://schemas.openxmlformats.org/officeDocument/2006/relationships/hyperlink" Target="https://www.rbi.org.in/Scripts/NotificationUser.aspx?Id=11808&amp;Mode=0" TargetMode="External"/><Relationship Id="rId29" Type="http://schemas.openxmlformats.org/officeDocument/2006/relationships/hyperlink" Target="https://rbi.org.in/Scripts/NotificationUser.aspx?Id=11393&amp;Mode=0" TargetMode="External"/><Relationship Id="rId11" Type="http://schemas.openxmlformats.org/officeDocument/2006/relationships/hyperlink" Target="https://www.rbi.org.in/Scripts/NotificationUser.aspx?Id=11686&amp;Mode=0" TargetMode="External"/><Relationship Id="rId24" Type="http://schemas.openxmlformats.org/officeDocument/2006/relationships/hyperlink" Target="https://www.rbi.org.in/Scripts/NotificationUser.aspx?Id=12095&amp;Mode=0" TargetMode="External"/><Relationship Id="rId32" Type="http://schemas.openxmlformats.org/officeDocument/2006/relationships/hyperlink" Target="https://rbi.org.in/Scripts/BS_ViewMasDirections.aspx?id=11142" TargetMode="External"/><Relationship Id="rId37" Type="http://schemas.openxmlformats.org/officeDocument/2006/relationships/hyperlink" Target="https://www.rbi.org.in/Scripts/NotificationUser.aspx?Id=11445&amp;Mode=0" TargetMode="External"/><Relationship Id="rId40" Type="http://schemas.openxmlformats.org/officeDocument/2006/relationships/hyperlink" Target="https://www.rbi.org.in/Scripts/NotificationUser.aspx?Id=12085&amp;Mode=0" TargetMode="External"/><Relationship Id="rId45" Type="http://schemas.openxmlformats.org/officeDocument/2006/relationships/hyperlink" Target="https://rbi.org.in/Scripts/BS_PressReleaseDisplay.aspx?prid=32615" TargetMode="External"/><Relationship Id="rId53" Type="http://schemas.openxmlformats.org/officeDocument/2006/relationships/hyperlink" Target="https://www.rbi.org.in/" TargetMode="External"/><Relationship Id="rId58" Type="http://schemas.openxmlformats.org/officeDocument/2006/relationships/hyperlink" Target="https://www.rbi.org.in/Scripts/NotificationUser.aspx?Id=11612&amp;Mode=0" TargetMode="External"/><Relationship Id="rId66" Type="http://schemas.openxmlformats.org/officeDocument/2006/relationships/hyperlink" Target="https://www.rbi.org.in/Scripts/NotificationUser.aspx?Id=12061&amp;Mode=0" TargetMode="External"/><Relationship Id="rId74" Type="http://schemas.openxmlformats.org/officeDocument/2006/relationships/hyperlink" Target="mailto:reportfmd@rbi.org.in" TargetMode="External"/><Relationship Id="rId79" Type="http://schemas.openxmlformats.org/officeDocument/2006/relationships/hyperlink" Target="https://www.rbi.org.in/Scripts/NotificationUser.aspx?Id=12061&amp;Mode=0" TargetMode="External"/><Relationship Id="rId87" Type="http://schemas.openxmlformats.org/officeDocument/2006/relationships/hyperlink" Target="https://www.rbi.org.in/Scripts/BS_PressReleaseDisplay.aspx?prid=50748" TargetMode="External"/><Relationship Id="rId5" Type="http://schemas.openxmlformats.org/officeDocument/2006/relationships/hyperlink" Target="https://www.rbi.org.in/Scripts/NotificationUser.aspx?Id=11951&amp;Mode=0" TargetMode="External"/><Relationship Id="rId61" Type="http://schemas.openxmlformats.org/officeDocument/2006/relationships/hyperlink" Target="https://www.rbi.org.in/Scripts/NotificationUser.aspx?Id=9722&amp;Mode=0" TargetMode="External"/><Relationship Id="rId82" Type="http://schemas.openxmlformats.org/officeDocument/2006/relationships/hyperlink" Target="https://www.rbi.org.in/Scripts/NotificationUser.aspx?Id=12004&amp;Mode=0" TargetMode="External"/><Relationship Id="rId90" Type="http://schemas.openxmlformats.org/officeDocument/2006/relationships/hyperlink" Target="https://www.rbi.org.in/Scripts/NotificationUser.aspx?Id=12017&amp;Mode=0" TargetMode="External"/><Relationship Id="rId95" Type="http://schemas.openxmlformats.org/officeDocument/2006/relationships/fontTable" Target="fontTable.xml"/><Relationship Id="rId19" Type="http://schemas.openxmlformats.org/officeDocument/2006/relationships/hyperlink" Target="https://www.rbi.org.in/scripts/FS_Notification.aspx?Id=11243&amp;fn=2&amp;Mode=0" TargetMode="External"/><Relationship Id="rId14" Type="http://schemas.openxmlformats.org/officeDocument/2006/relationships/hyperlink" Target="https://www.rbi.org.in/Scripts/NotificationUser.aspx?Id=12086&amp;Mode=0" TargetMode="External"/><Relationship Id="rId22" Type="http://schemas.openxmlformats.org/officeDocument/2006/relationships/hyperlink" Target="https://www.rbi.org.in/Scripts/NotificationUser.aspx?Id=11822&amp;Mode=0" TargetMode="External"/><Relationship Id="rId27" Type="http://schemas.openxmlformats.org/officeDocument/2006/relationships/hyperlink" Target="https://rbi.org.in/Scripts/BS_PressReleaseDisplay.aspx?prid=51382" TargetMode="External"/><Relationship Id="rId30" Type="http://schemas.openxmlformats.org/officeDocument/2006/relationships/hyperlink" Target="https://rbi.org.in/Scripts/BS_ViewMasDirections.aspx?id=11142" TargetMode="External"/><Relationship Id="rId35" Type="http://schemas.openxmlformats.org/officeDocument/2006/relationships/hyperlink" Target="https://www.rbi.org.in/Scripts/NotificationUser.aspx?Id=11942&amp;Mode=0" TargetMode="External"/><Relationship Id="rId43" Type="http://schemas.openxmlformats.org/officeDocument/2006/relationships/hyperlink" Target="https://www.rbi.org.in/Scripts/NotificationUser.aspx?Id=12081&amp;Mode=0" TargetMode="External"/><Relationship Id="rId48" Type="http://schemas.openxmlformats.org/officeDocument/2006/relationships/hyperlink" Target="https://www.rbi.org.in/Scripts/BS_ViewMasCirculardetails.aspx?id=11615" TargetMode="External"/><Relationship Id="rId56" Type="http://schemas.openxmlformats.org/officeDocument/2006/relationships/hyperlink" Target="mailto:nulmfidd@rbi.org.in" TargetMode="External"/><Relationship Id="rId64" Type="http://schemas.openxmlformats.org/officeDocument/2006/relationships/hyperlink" Target="https://rbi.org.in/Scripts/BS_PressReleaseDisplay.aspx?prid=47226" TargetMode="External"/><Relationship Id="rId69" Type="http://schemas.openxmlformats.org/officeDocument/2006/relationships/hyperlink" Target="https://rbi.org.in/Scripts/NotificationUser.aspx?Id=12006&amp;Mode=0" TargetMode="External"/><Relationship Id="rId77" Type="http://schemas.openxmlformats.org/officeDocument/2006/relationships/hyperlink" Target="https://rbi.org.in/Scripts/NotificationUser.aspx?Id=11405&amp;Mode=0" TargetMode="External"/><Relationship Id="rId8" Type="http://schemas.openxmlformats.org/officeDocument/2006/relationships/hyperlink" Target="https://www.rbi.org.in/Scripts/NotificationUser.aspx?Id=11951&amp;Mode=0" TargetMode="External"/><Relationship Id="rId51" Type="http://schemas.openxmlformats.org/officeDocument/2006/relationships/hyperlink" Target="https://www.rbi.org.in/Scripts/BS_ViewMasCirculardetails.aspx?id=12063" TargetMode="External"/><Relationship Id="rId72" Type="http://schemas.openxmlformats.org/officeDocument/2006/relationships/hyperlink" Target="https://rbi.org.in/Scripts/BS_PressReleaseDisplay.aspx?prid=32614" TargetMode="External"/><Relationship Id="rId80" Type="http://schemas.openxmlformats.org/officeDocument/2006/relationships/hyperlink" Target="https://www.rbi.org.in/Scripts/BS_ViewMasDirections.aspx?id=11566" TargetMode="External"/><Relationship Id="rId85" Type="http://schemas.openxmlformats.org/officeDocument/2006/relationships/hyperlink" Target="https://www.rbi.org.in/Scripts/NotificationUser.aspx?Id=11841&amp;Mode=0" TargetMode="External"/><Relationship Id="rId93" Type="http://schemas.openxmlformats.org/officeDocument/2006/relationships/hyperlink" Target="http://www.fatf-gafi.org/publications/high-risk-and-other-monitored-jurisdictions/documents/increased-monitoring-june-2021.html" TargetMode="External"/><Relationship Id="rId3" Type="http://schemas.openxmlformats.org/officeDocument/2006/relationships/settings" Target="settings.xml"/><Relationship Id="rId12" Type="http://schemas.openxmlformats.org/officeDocument/2006/relationships/hyperlink" Target="https://www.rbi.org.in/Scripts/BS_PressReleaseDisplay.aspx?prid=47270" TargetMode="External"/><Relationship Id="rId17" Type="http://schemas.openxmlformats.org/officeDocument/2006/relationships/hyperlink" Target="https://www.rbi.org.in/Scripts/NotificationUser.aspx?Id=11445&amp;Mode=0" TargetMode="External"/><Relationship Id="rId25" Type="http://schemas.openxmlformats.org/officeDocument/2006/relationships/hyperlink" Target="https://www.rbi.org.in/Scripts/NotificationUser.aspx?Id=12050&amp;Mode=0" TargetMode="External"/><Relationship Id="rId33" Type="http://schemas.openxmlformats.org/officeDocument/2006/relationships/hyperlink" Target="https://www.rbi.org.in/Scripts/NotificationUser.aspx?Id=12094&amp;Mode=0" TargetMode="External"/><Relationship Id="rId38" Type="http://schemas.openxmlformats.org/officeDocument/2006/relationships/hyperlink" Target="https://www.rbi.org.in/Scripts/NotificationUser.aspx?Id=11942&amp;Mode=0" TargetMode="External"/><Relationship Id="rId46" Type="http://schemas.openxmlformats.org/officeDocument/2006/relationships/hyperlink" Target="https://www.rbi.org.in/Scripts/NotificationUser.aspx?Id=12074&amp;Mode=0" TargetMode="External"/><Relationship Id="rId59" Type="http://schemas.openxmlformats.org/officeDocument/2006/relationships/hyperlink" Target="https://www.rbi.org.in/Scripts/BS_ViewMasCirculardetails.aspx?id=12062" TargetMode="External"/><Relationship Id="rId67" Type="http://schemas.openxmlformats.org/officeDocument/2006/relationships/hyperlink" Target="https://rbi.org.in/Scripts/NotificationUser.aspx?Id=10495&amp;Mode=0" TargetMode="External"/><Relationship Id="rId20" Type="http://schemas.openxmlformats.org/officeDocument/2006/relationships/hyperlink" Target="https://www.rbi.org.in/Scripts/BS_ViewMasDirections.aspx?id=11142" TargetMode="External"/><Relationship Id="rId41" Type="http://schemas.openxmlformats.org/officeDocument/2006/relationships/hyperlink" Target="https://www.rbi.org.in/Scripts/BS_PressReleaseDisplay.aspx?prid=51078" TargetMode="External"/><Relationship Id="rId54" Type="http://schemas.openxmlformats.org/officeDocument/2006/relationships/hyperlink" Target="https://rbidocs.rbi.org.in/rdocs/content/pdfs/MC12_05042021AN1.pdf" TargetMode="External"/><Relationship Id="rId62" Type="http://schemas.openxmlformats.org/officeDocument/2006/relationships/hyperlink" Target="https://www.rbi.org.in/Scripts/BS_ViewMasDirections.aspx?id=11959" TargetMode="External"/><Relationship Id="rId70" Type="http://schemas.openxmlformats.org/officeDocument/2006/relationships/hyperlink" Target="https://rbi.org.in/Scripts/NotificationUser.aspx?Id=11385&amp;Mode=0" TargetMode="External"/><Relationship Id="rId75" Type="http://schemas.openxmlformats.org/officeDocument/2006/relationships/hyperlink" Target="mailto:reportfmd@rbi.org.in" TargetMode="External"/><Relationship Id="rId83" Type="http://schemas.openxmlformats.org/officeDocument/2006/relationships/hyperlink" Target="https://www.rbi.org.in/Scripts/BS_PressReleaseDisplay.aspx?prid=50427" TargetMode="External"/><Relationship Id="rId88" Type="http://schemas.openxmlformats.org/officeDocument/2006/relationships/hyperlink" Target="https://www.rbi.org.in/Scripts/BS_PressReleaseDisplay.aspx?prid=50747" TargetMode="External"/><Relationship Id="rId91" Type="http://schemas.openxmlformats.org/officeDocument/2006/relationships/hyperlink" Target="https://www.rbi.org.in/Scripts/OccasionalPublications.aspx?head=Payment%20Systems%20in%20India%20-%20Booklet"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bidocs.rbi.org.in/rdocs/content/pdfs/MoMSME16062021.pdf" TargetMode="External"/><Relationship Id="rId15" Type="http://schemas.openxmlformats.org/officeDocument/2006/relationships/hyperlink" Target="https://www.rbi.org.in/Scripts/NotificationUser.aspx?Id=11942&amp;Mode=0" TargetMode="External"/><Relationship Id="rId23" Type="http://schemas.openxmlformats.org/officeDocument/2006/relationships/hyperlink" Target="https://www.rbi.org.in/Scripts/NotificationUser.aspx?Id=11910&amp;Mode=0" TargetMode="External"/><Relationship Id="rId28" Type="http://schemas.openxmlformats.org/officeDocument/2006/relationships/hyperlink" Target="https://rbi.org.in/Scripts/BS_ViewMasDirections.aspx?id=11142" TargetMode="External"/><Relationship Id="rId36" Type="http://schemas.openxmlformats.org/officeDocument/2006/relationships/hyperlink" Target="https://www.rbi.org.in/Scripts/NotificationUser.aspx?Id=11808&amp;Mode=0" TargetMode="External"/><Relationship Id="rId49" Type="http://schemas.openxmlformats.org/officeDocument/2006/relationships/hyperlink" Target="https://www.paisaportal.in/" TargetMode="External"/><Relationship Id="rId57" Type="http://schemas.openxmlformats.org/officeDocument/2006/relationships/hyperlink" Target="https://www.rbi.org.in/Scripts/NotificationUser.aspx?Id=12066&amp;Mode=0" TargetMode="External"/><Relationship Id="rId10" Type="http://schemas.openxmlformats.org/officeDocument/2006/relationships/hyperlink" Target="https://www.rbi.org.in/Scripts/NotificationUser.aspx?Id=9368&amp;Mode=0" TargetMode="External"/><Relationship Id="rId31" Type="http://schemas.openxmlformats.org/officeDocument/2006/relationships/hyperlink" Target="https://rbi.org.in/Scripts/NotificationUser.aspx?Id=10004&amp;Mode=0" TargetMode="External"/><Relationship Id="rId44" Type="http://schemas.openxmlformats.org/officeDocument/2006/relationships/hyperlink" Target="https://rbi.org.in/Scripts/BS_PressReleaseDisplay.aspx?prid=51382" TargetMode="External"/><Relationship Id="rId52" Type="http://schemas.openxmlformats.org/officeDocument/2006/relationships/hyperlink" Target="https://www.rbi.org.in/Scripts/NotificationUser.aspx?Id=8603&amp;Mode=0" TargetMode="External"/><Relationship Id="rId60" Type="http://schemas.openxmlformats.org/officeDocument/2006/relationships/hyperlink" Target="https://www.rbi.org.in/Scripts/BS_ViewMasCirculardetails.aspx?id=12066" TargetMode="External"/><Relationship Id="rId65" Type="http://schemas.openxmlformats.org/officeDocument/2006/relationships/hyperlink" Target="https://rbi.org.in/Scripts/BS_PressReleaseDisplay.aspx?prid=47225" TargetMode="External"/><Relationship Id="rId73" Type="http://schemas.openxmlformats.org/officeDocument/2006/relationships/hyperlink" Target="https://www.rbi.org.in/Scripts/NotificationUser.aspx?Id=12061&amp;Mode=0" TargetMode="External"/><Relationship Id="rId78" Type="http://schemas.openxmlformats.org/officeDocument/2006/relationships/hyperlink" Target="https://rbi.org.in/Scripts/NotificationUser.aspx?Id=12006&amp;Mode=0" TargetMode="External"/><Relationship Id="rId81" Type="http://schemas.openxmlformats.org/officeDocument/2006/relationships/hyperlink" Target="https://www.rbi.org.in/Scripts/NotificationUser.aspx?Id=11838&amp;Mode=0" TargetMode="External"/><Relationship Id="rId86" Type="http://schemas.openxmlformats.org/officeDocument/2006/relationships/hyperlink" Target="https://www.rbi.org.in/Scripts/BS_PressReleaseDisplay.aspx?prid=51078" TargetMode="External"/><Relationship Id="rId94" Type="http://schemas.openxmlformats.org/officeDocument/2006/relationships/hyperlink" Target="http://www.fatf-gafi.org/publications/high-risk-and-other-monitored-jurisdictions/documents/call-for-action-june-2021.html"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120&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20216</Words>
  <Characters>115232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2</cp:revision>
  <dcterms:created xsi:type="dcterms:W3CDTF">2021-07-18T02:46:00Z</dcterms:created>
  <dcterms:modified xsi:type="dcterms:W3CDTF">2021-07-18T02:46:00Z</dcterms:modified>
</cp:coreProperties>
</file>