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68" w:rsidRPr="00432068" w:rsidRDefault="00377129">
      <w:pPr>
        <w:rPr>
          <w:b/>
          <w:color w:val="2E74B5" w:themeColor="accent1" w:themeShade="BF"/>
          <w:sz w:val="24"/>
        </w:rPr>
      </w:pPr>
      <w:r>
        <w:rPr>
          <w:b/>
          <w:color w:val="2E74B5" w:themeColor="accent1" w:themeShade="BF"/>
          <w:sz w:val="24"/>
        </w:rPr>
        <w:t>NBFCs</w:t>
      </w:r>
    </w:p>
    <w:tbl>
      <w:tblPr>
        <w:tblW w:w="0" w:type="auto"/>
        <w:tblLook w:val="04A0" w:firstRow="1" w:lastRow="0" w:firstColumn="1" w:lastColumn="0" w:noHBand="0" w:noVBand="1"/>
      </w:tblPr>
      <w:tblGrid>
        <w:gridCol w:w="663"/>
        <w:gridCol w:w="8687"/>
      </w:tblGrid>
      <w:tr w:rsidR="00377129" w:rsidRPr="00F602F8" w:rsidTr="00F602F8">
        <w:trPr>
          <w:trHeight w:val="510"/>
        </w:trPr>
        <w:tc>
          <w:tcPr>
            <w:tcW w:w="0" w:type="auto"/>
            <w:tcBorders>
              <w:top w:val="single" w:sz="4" w:space="0" w:color="auto"/>
              <w:left w:val="single" w:sz="4" w:space="0" w:color="auto"/>
              <w:bottom w:val="single" w:sz="4" w:space="0" w:color="auto"/>
              <w:right w:val="single" w:sz="4" w:space="0" w:color="auto"/>
            </w:tcBorders>
          </w:tcPr>
          <w:p w:rsidR="00377129" w:rsidRPr="00F602F8" w:rsidRDefault="00377129" w:rsidP="00F602F8">
            <w:pPr>
              <w:spacing w:after="0" w:line="240" w:lineRule="auto"/>
              <w:jc w:val="center"/>
              <w:rPr>
                <w:rFonts w:ascii="Calibri" w:eastAsia="Times New Roman" w:hAnsi="Calibri" w:cs="Calibri"/>
                <w:b/>
                <w:bCs/>
                <w:color w:val="000000"/>
                <w:szCs w:val="20"/>
              </w:rPr>
            </w:pPr>
            <w:r w:rsidRPr="00F602F8">
              <w:rPr>
                <w:rFonts w:ascii="Calibri" w:eastAsia="Times New Roman" w:hAnsi="Calibri" w:cs="Calibri"/>
                <w:b/>
                <w:bCs/>
                <w:color w:val="000000"/>
                <w:szCs w:val="20"/>
              </w:rPr>
              <w:t>Sr. 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77129" w:rsidRPr="00F602F8" w:rsidRDefault="00377129" w:rsidP="00F602F8">
            <w:pPr>
              <w:spacing w:after="0" w:line="240" w:lineRule="auto"/>
              <w:jc w:val="center"/>
              <w:rPr>
                <w:rFonts w:ascii="Calibri" w:eastAsia="Times New Roman" w:hAnsi="Calibri" w:cs="Calibri"/>
                <w:b/>
                <w:bCs/>
                <w:color w:val="000000"/>
                <w:szCs w:val="20"/>
              </w:rPr>
            </w:pPr>
            <w:r w:rsidRPr="00F602F8">
              <w:rPr>
                <w:rFonts w:ascii="Calibri" w:eastAsia="Times New Roman" w:hAnsi="Calibri" w:cs="Calibri"/>
                <w:b/>
                <w:bCs/>
                <w:color w:val="000000"/>
                <w:szCs w:val="20"/>
              </w:rPr>
              <w:t>RBI Notifications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New Definition of Micro, Small and Medium Enterprises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Reserve Bank of India (Call, Notice and Term Money Markets) Directions, 2021</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Declaration of dividends by NBFCs</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4</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Gold (Metal) Loans – Repayment</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5</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Bharat Bill Payment System – Addition of Biller Category</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6</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Direction – Reserve Bank of India (Certificate of Deposit) Directions, 2021</w:t>
            </w:r>
          </w:p>
        </w:tc>
      </w:tr>
      <w:tr w:rsidR="00377129" w:rsidRPr="00F602F8" w:rsidTr="001F7DE7">
        <w:trPr>
          <w:trHeight w:val="737"/>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7</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Resolution Framework - 2.0: Resolution of Covid-19 related stress of Micro, Small and Medium Enterprises (MSMEs) – Revision in the threshold for aggregate exposure</w:t>
            </w:r>
          </w:p>
        </w:tc>
      </w:tr>
      <w:tr w:rsidR="00377129" w:rsidRPr="00F602F8" w:rsidTr="00F602F8">
        <w:trPr>
          <w:trHeight w:val="76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8</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Resolution Framework - 2.0: Resolution of Covid-19 related stress of Individuals and Small Businesses – Revision in the threshold for aggregate exposure</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9</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Customer Due Diligence for transactions in Virtual Currencies (VC)</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10</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Relaxation in timeline for compliance with various payment system requirements</w:t>
            </w:r>
          </w:p>
        </w:tc>
      </w:tr>
      <w:tr w:rsidR="00377129" w:rsidRPr="00F602F8" w:rsidTr="001F7DE7">
        <w:trPr>
          <w:trHeight w:val="863"/>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11</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Prepaid Payment Instruments (PPIs) – (i) Mandating Interoperability; (ii) Increasing the Limit to ₹2 lakh for Full-KYC PPIs; and (iii) Permitting Cash Withdrawal from Full-KYC PPIs of Non-Bank PPI Issuers</w:t>
            </w:r>
          </w:p>
        </w:tc>
      </w:tr>
      <w:tr w:rsidR="00377129" w:rsidRPr="00F602F8" w:rsidTr="00F602F8">
        <w:trPr>
          <w:trHeight w:val="765"/>
        </w:trPr>
        <w:tc>
          <w:tcPr>
            <w:tcW w:w="0" w:type="auto"/>
            <w:tcBorders>
              <w:top w:val="nil"/>
              <w:left w:val="single" w:sz="4" w:space="0" w:color="auto"/>
              <w:bottom w:val="single" w:sz="4" w:space="0" w:color="auto"/>
              <w:right w:val="single" w:sz="4" w:space="0" w:color="auto"/>
            </w:tcBorders>
            <w:shd w:val="clear" w:color="000000" w:fill="FFFFFF"/>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12</w:t>
            </w:r>
          </w:p>
        </w:tc>
        <w:tc>
          <w:tcPr>
            <w:tcW w:w="0" w:type="auto"/>
            <w:tcBorders>
              <w:top w:val="nil"/>
              <w:left w:val="single" w:sz="4" w:space="0" w:color="auto"/>
              <w:bottom w:val="single" w:sz="4" w:space="0" w:color="auto"/>
              <w:right w:val="single" w:sz="4" w:space="0" w:color="auto"/>
            </w:tcBorders>
            <w:shd w:val="clear" w:color="000000" w:fill="FFFFFF"/>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Resolution Framework 2.0 – Resolution of Covid-19 related stress of Micro, Small and Medium Enterprises (MSMEs)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shd w:val="clear" w:color="000000" w:fill="FFFFFF"/>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13</w:t>
            </w:r>
          </w:p>
        </w:tc>
        <w:tc>
          <w:tcPr>
            <w:tcW w:w="0" w:type="auto"/>
            <w:tcBorders>
              <w:top w:val="nil"/>
              <w:left w:val="single" w:sz="4" w:space="0" w:color="auto"/>
              <w:bottom w:val="single" w:sz="4" w:space="0" w:color="auto"/>
              <w:right w:val="single" w:sz="4" w:space="0" w:color="auto"/>
            </w:tcBorders>
            <w:shd w:val="clear" w:color="000000" w:fill="FFFFFF"/>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Resolution Framework – 2.0: Resolution of Covid-19 related stress of Individuals and Small Businesses</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shd w:val="clear" w:color="000000" w:fill="FFFFFF"/>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14</w:t>
            </w:r>
          </w:p>
        </w:tc>
        <w:tc>
          <w:tcPr>
            <w:tcW w:w="0" w:type="auto"/>
            <w:tcBorders>
              <w:top w:val="nil"/>
              <w:left w:val="single" w:sz="4" w:space="0" w:color="auto"/>
              <w:bottom w:val="single" w:sz="4" w:space="0" w:color="auto"/>
              <w:right w:val="single" w:sz="4" w:space="0" w:color="auto"/>
            </w:tcBorders>
            <w:shd w:val="clear" w:color="000000" w:fill="FFFFFF"/>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Credit to MSME Entrepreneurs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15</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Periodic Updation of KYC – Restrictions on Account Operations for Non-compliance</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16</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Priority Sector Lending (PSL) - On-lending by Small Finance Banks (SFBs) to NBFC-MFIs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17</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Asset Classification and Income Recognition following the expiry of Covid-19 regulatory package</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18</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Priority Sector Lending (PSL) - Lending by banks to NBFCs for On-Lending</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19</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Deendayal Antyodaya Yojana – National Urban Livelihoods Mission (DAY-NULM)</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20</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Circular - Credit facilities to Scheduled Castes (SCs) &amp; Scheduled Tribes (STs)</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21</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Circular on SHG-Bank Linkage Programme</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22</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Circular – Deendayal Antyodaya Yojana - National Rural Livelihoods Mission (DAY-NRLM)</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lastRenderedPageBreak/>
              <w:t>23</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Direction - Reserve Bank of India (Call, Notice and Term Money Markets) Directions, 2021</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24</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Amendment to Master Direction (MD) on KYC – KYC norms for Self Help Groups (SHGs)</w:t>
            </w:r>
          </w:p>
        </w:tc>
      </w:tr>
      <w:tr w:rsidR="00377129" w:rsidRPr="00F602F8" w:rsidTr="00F602F8">
        <w:trPr>
          <w:trHeight w:val="76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25</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Master Direction – Non-Banking Financial Company – Housing Finance Company (Reserve Bank) Directions, 2021</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26</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Investment in NBFCs from FATF non-compliant jurisdictions</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27</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Credit to MSME Entrepreneurs</w:t>
            </w:r>
          </w:p>
        </w:tc>
      </w:tr>
      <w:tr w:rsidR="00377129" w:rsidRPr="00F602F8" w:rsidTr="00F602F8">
        <w:trPr>
          <w:trHeight w:val="102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28</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Section 24 of the Banking Regulation Act, 1949 – Maintenance of Statutory Liquidity Ratio (SLR) – Marginal Standing Facility (MSF) - Extension of Relaxation</w:t>
            </w:r>
          </w:p>
        </w:tc>
      </w:tr>
      <w:tr w:rsidR="00377129" w:rsidRPr="00F602F8" w:rsidTr="00F602F8">
        <w:trPr>
          <w:trHeight w:val="255"/>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29</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Maintenance of Cash Reserve Ratio (CRR)</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30</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Loans and advances to directors, their relatives, and firms / concerns in which they are interested</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31</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Strengthening of Grievance Redress Mechanism in Banks</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32</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Booklet on Payment Systems in India</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33</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High-risk and other monitored jurisdictions: Jurisdictions under Increased Monitoring - June 2021</w:t>
            </w:r>
          </w:p>
        </w:tc>
      </w:tr>
      <w:tr w:rsidR="00377129" w:rsidRPr="00F602F8" w:rsidTr="00F602F8">
        <w:trPr>
          <w:trHeight w:val="51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34</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Cs w:val="20"/>
              </w:rPr>
            </w:pPr>
            <w:r w:rsidRPr="00F602F8">
              <w:rPr>
                <w:rFonts w:ascii="Calibri" w:eastAsia="Times New Roman" w:hAnsi="Calibri" w:cs="Calibri"/>
                <w:color w:val="000000"/>
                <w:szCs w:val="20"/>
              </w:rPr>
              <w:t>High-Risk Jurisdictions subject to a Call for Action</w:t>
            </w:r>
          </w:p>
        </w:tc>
      </w:tr>
      <w:tr w:rsidR="00377129" w:rsidRPr="00F602F8" w:rsidTr="00F602F8">
        <w:trPr>
          <w:trHeight w:val="600"/>
        </w:trPr>
        <w:tc>
          <w:tcPr>
            <w:tcW w:w="0" w:type="auto"/>
            <w:tcBorders>
              <w:top w:val="nil"/>
              <w:left w:val="single" w:sz="4" w:space="0" w:color="auto"/>
              <w:bottom w:val="single" w:sz="4" w:space="0" w:color="auto"/>
              <w:right w:val="single" w:sz="4" w:space="0" w:color="auto"/>
            </w:tcBorders>
          </w:tcPr>
          <w:p w:rsidR="00377129" w:rsidRPr="00F602F8" w:rsidRDefault="00377129" w:rsidP="00377129">
            <w:pPr>
              <w:spacing w:after="0" w:line="240" w:lineRule="auto"/>
              <w:rPr>
                <w:rFonts w:ascii="Calibri" w:eastAsia="Times New Roman" w:hAnsi="Calibri" w:cs="Calibri"/>
                <w:color w:val="000000"/>
                <w:sz w:val="24"/>
              </w:rPr>
            </w:pPr>
            <w:r w:rsidRPr="00F602F8">
              <w:rPr>
                <w:rFonts w:ascii="Calibri" w:eastAsia="Times New Roman" w:hAnsi="Calibri" w:cs="Calibri"/>
                <w:color w:val="000000"/>
                <w:sz w:val="24"/>
              </w:rPr>
              <w:t>35</w:t>
            </w:r>
          </w:p>
        </w:tc>
        <w:tc>
          <w:tcPr>
            <w:tcW w:w="0" w:type="auto"/>
            <w:tcBorders>
              <w:top w:val="nil"/>
              <w:left w:val="single" w:sz="4" w:space="0" w:color="auto"/>
              <w:bottom w:val="single" w:sz="4" w:space="0" w:color="auto"/>
              <w:right w:val="single" w:sz="4" w:space="0" w:color="auto"/>
            </w:tcBorders>
            <w:shd w:val="clear" w:color="auto" w:fill="auto"/>
            <w:hideMark/>
          </w:tcPr>
          <w:p w:rsidR="00377129" w:rsidRPr="00F602F8" w:rsidRDefault="00377129" w:rsidP="00377129">
            <w:pPr>
              <w:spacing w:after="0" w:line="240" w:lineRule="auto"/>
              <w:rPr>
                <w:rFonts w:ascii="Calibri" w:eastAsia="Times New Roman" w:hAnsi="Calibri" w:cs="Calibri"/>
                <w:color w:val="000000"/>
                <w:sz w:val="24"/>
              </w:rPr>
            </w:pPr>
            <w:r w:rsidRPr="00F602F8">
              <w:rPr>
                <w:rFonts w:ascii="Calibri" w:eastAsia="Times New Roman" w:hAnsi="Calibri" w:cs="Calibri"/>
                <w:color w:val="000000"/>
                <w:sz w:val="24"/>
              </w:rPr>
              <w:t>Finance Minister’s Press Conference on 28th June, 2021 - Economic Relief from Pandemic</w:t>
            </w:r>
          </w:p>
        </w:tc>
      </w:tr>
    </w:tbl>
    <w:p w:rsidR="00174F55" w:rsidRDefault="00174F55">
      <w:pPr>
        <w:rPr>
          <w:b/>
          <w:color w:val="2E74B5" w:themeColor="accent1" w:themeShade="BF"/>
          <w:sz w:val="24"/>
        </w:rPr>
      </w:pPr>
    </w:p>
    <w:p w:rsidR="001734DD" w:rsidRPr="00C760EA" w:rsidRDefault="00372F67" w:rsidP="001734DD">
      <w:pPr>
        <w:pStyle w:val="NormalWeb"/>
        <w:shd w:val="clear" w:color="auto" w:fill="FFFFFF"/>
        <w:spacing w:before="0" w:beforeAutospacing="0" w:after="0" w:afterAutospacing="0"/>
        <w:jc w:val="both"/>
        <w:rPr>
          <w:b/>
          <w:bCs/>
          <w:color w:val="000000"/>
        </w:rPr>
      </w:pPr>
      <w:r>
        <w:rPr>
          <w:b/>
          <w:bCs/>
          <w:color w:val="000000"/>
        </w:rPr>
        <w:t>1.</w:t>
      </w:r>
      <w:r w:rsidR="001734DD" w:rsidRPr="00C760EA">
        <w:rPr>
          <w:b/>
          <w:bCs/>
          <w:color w:val="000000"/>
        </w:rPr>
        <w:t>New Definition of Micro, Small and Medium Enterprises</w:t>
      </w:r>
    </w:p>
    <w:p w:rsidR="001734DD" w:rsidRDefault="001734DD" w:rsidP="001734DD">
      <w:pPr>
        <w:pStyle w:val="NormalWeb"/>
        <w:shd w:val="clear" w:color="auto" w:fill="FFFFFF"/>
        <w:spacing w:before="0" w:beforeAutospacing="0" w:after="0" w:afterAutospacing="0"/>
        <w:jc w:val="both"/>
        <w:rPr>
          <w:color w:val="000000"/>
        </w:rPr>
      </w:pPr>
    </w:p>
    <w:p w:rsidR="001734DD" w:rsidRPr="00544DBA" w:rsidRDefault="001734DD" w:rsidP="001734DD">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1734DD" w:rsidRDefault="001734DD" w:rsidP="001734DD">
      <w:pPr>
        <w:pStyle w:val="NormalWeb"/>
        <w:shd w:val="clear" w:color="auto" w:fill="FFFFFF"/>
        <w:spacing w:before="0" w:beforeAutospacing="0" w:after="0" w:afterAutospacing="0"/>
        <w:jc w:val="both"/>
        <w:rPr>
          <w:i/>
          <w:color w:val="000000"/>
        </w:rPr>
      </w:pPr>
    </w:p>
    <w:p w:rsidR="001734DD" w:rsidRPr="00544DBA" w:rsidRDefault="001734DD" w:rsidP="001734DD">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Please refer to the </w:t>
      </w:r>
      <w:hyperlink r:id="rId5"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6"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7" w:tgtFrame="_blank" w:history="1">
        <w:r w:rsidRPr="00C760EA">
          <w:rPr>
            <w:rStyle w:val="Hyperlink"/>
          </w:rPr>
          <w:t>S.O. 2119 (E), dated June 26, 2020</w:t>
        </w:r>
      </w:hyperlink>
      <w:r w:rsidRPr="00C760EA">
        <w:rPr>
          <w:color w:val="000000"/>
        </w:rPr>
        <w:t>, published in the Gazette of India.</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8" w:tgtFrame="_blank" w:history="1">
        <w:r w:rsidRPr="00C760EA">
          <w:rPr>
            <w:rStyle w:val="Hyperlink"/>
          </w:rPr>
          <w:t>RBI circular dated August 21, 2020</w:t>
        </w:r>
      </w:hyperlink>
      <w:r w:rsidRPr="00C760EA">
        <w:rPr>
          <w:color w:val="000000"/>
        </w:rPr>
        <w:t> stands modified as under:</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lastRenderedPageBreak/>
        <w:t>“The existing Entrepreneurs Memorandum (EM) Part II and Udyog Aadhaar Memorandum (UAMs) of the MSMEs obtained till June 30, 2020 shall remain valid till December 31, 2021”.</w:t>
      </w:r>
    </w:p>
    <w:p w:rsidR="001734DD"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1734DD" w:rsidRDefault="001734DD" w:rsidP="001734DD">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1734DD" w:rsidRPr="00C760EA"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1734DD" w:rsidRPr="00C760EA" w:rsidRDefault="00372F67" w:rsidP="001734DD">
      <w:pPr>
        <w:pStyle w:val="NormalWeb"/>
        <w:shd w:val="clear" w:color="auto" w:fill="FFFFFF"/>
        <w:spacing w:before="0" w:beforeAutospacing="0" w:after="0" w:afterAutospacing="0"/>
        <w:jc w:val="both"/>
        <w:rPr>
          <w:b/>
          <w:bCs/>
          <w:color w:val="000000"/>
        </w:rPr>
      </w:pPr>
      <w:r>
        <w:rPr>
          <w:b/>
          <w:bCs/>
          <w:color w:val="000000"/>
        </w:rPr>
        <w:t>2.</w:t>
      </w:r>
      <w:r w:rsidR="001734DD" w:rsidRPr="00C760EA">
        <w:rPr>
          <w:b/>
          <w:bCs/>
          <w:color w:val="000000"/>
        </w:rPr>
        <w:t>Reserve Bank of India (Call, Notice and Term Money Markets) Directions, 2021</w:t>
      </w:r>
    </w:p>
    <w:p w:rsidR="001734DD" w:rsidRDefault="001734DD" w:rsidP="001734DD">
      <w:pPr>
        <w:pStyle w:val="NormalWeb"/>
        <w:shd w:val="clear" w:color="auto" w:fill="FFFFFF"/>
        <w:spacing w:before="0" w:beforeAutospacing="0" w:after="0" w:afterAutospacing="0"/>
        <w:jc w:val="both"/>
        <w:rPr>
          <w:color w:val="000000"/>
        </w:rPr>
      </w:pPr>
    </w:p>
    <w:p w:rsidR="001734DD" w:rsidRPr="00544DBA" w:rsidRDefault="001734DD" w:rsidP="001734DD">
      <w:pPr>
        <w:pStyle w:val="NormalWeb"/>
        <w:shd w:val="clear" w:color="auto" w:fill="FFFFFF"/>
        <w:spacing w:before="0" w:beforeAutospacing="0" w:after="0" w:afterAutospacing="0"/>
        <w:jc w:val="both"/>
        <w:rPr>
          <w:b/>
          <w:color w:val="000000"/>
        </w:rPr>
      </w:pPr>
      <w:r w:rsidRPr="00544DBA">
        <w:rPr>
          <w:b/>
          <w:color w:val="000000"/>
        </w:rPr>
        <w:t xml:space="preserve">RBI/2021-22/61FMRD.DIRD.06/14.01.001/2021-22 </w:t>
      </w:r>
      <w:r w:rsidRPr="00544DBA">
        <w:rPr>
          <w:b/>
          <w:color w:val="000000"/>
        </w:rPr>
        <w:tab/>
      </w:r>
      <w:r w:rsidRPr="00544DBA">
        <w:rPr>
          <w:b/>
          <w:color w:val="000000"/>
        </w:rPr>
        <w:tab/>
        <w:t>June 25, 2021</w:t>
      </w:r>
    </w:p>
    <w:p w:rsidR="001734DD" w:rsidRPr="00544DBA" w:rsidRDefault="001734DD" w:rsidP="001734DD">
      <w:pPr>
        <w:pStyle w:val="NormalWeb"/>
        <w:shd w:val="clear" w:color="auto" w:fill="FFFFFF"/>
        <w:spacing w:before="0" w:beforeAutospacing="0" w:after="0" w:afterAutospacing="0"/>
        <w:jc w:val="both"/>
        <w:rPr>
          <w:b/>
          <w:color w:val="000000"/>
        </w:rPr>
      </w:pPr>
    </w:p>
    <w:p w:rsidR="001734DD" w:rsidRPr="00544DBA" w:rsidRDefault="001734DD" w:rsidP="001734DD">
      <w:pPr>
        <w:pStyle w:val="NormalWeb"/>
        <w:shd w:val="clear" w:color="auto" w:fill="FFFFFF"/>
        <w:spacing w:before="0" w:beforeAutospacing="0" w:after="0" w:afterAutospacing="0"/>
        <w:jc w:val="both"/>
        <w:rPr>
          <w:i/>
          <w:color w:val="000000"/>
        </w:rPr>
      </w:pPr>
      <w:r w:rsidRPr="00544DBA">
        <w:rPr>
          <w:i/>
          <w:color w:val="000000"/>
        </w:rPr>
        <w:t>All Eligible Market Participants</w:t>
      </w:r>
    </w:p>
    <w:p w:rsidR="001734DD" w:rsidRPr="00544DBA" w:rsidRDefault="001734DD" w:rsidP="001734DD">
      <w:pPr>
        <w:pStyle w:val="NormalWeb"/>
        <w:shd w:val="clear" w:color="auto" w:fill="FFFFFF"/>
        <w:spacing w:before="0" w:beforeAutospacing="0" w:after="0" w:afterAutospacing="0"/>
        <w:jc w:val="both"/>
        <w:rPr>
          <w:i/>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Please refer to the Master Direction – Reserve Bank of India (Call, Notice and Term Money Markets) Directions, 2021 dated April 01, 2021 (hereinafter referred as ‘Master Directions’).</w:t>
      </w:r>
    </w:p>
    <w:p w:rsidR="001734DD" w:rsidRPr="00C760EA" w:rsidRDefault="001734DD" w:rsidP="001734DD">
      <w:pPr>
        <w:pStyle w:val="NormalWeb"/>
        <w:shd w:val="clear" w:color="auto" w:fill="FFFFFF"/>
        <w:spacing w:before="0" w:beforeAutospacing="0" w:after="0" w:afterAutospacing="0"/>
        <w:jc w:val="both"/>
        <w:rPr>
          <w:color w:val="000000"/>
        </w:rPr>
      </w:pPr>
    </w:p>
    <w:p w:rsidR="001734DD" w:rsidRDefault="001734DD" w:rsidP="001734DD">
      <w:pPr>
        <w:pStyle w:val="NormalWeb"/>
        <w:shd w:val="clear" w:color="auto" w:fill="FFFFFF"/>
        <w:spacing w:before="0" w:beforeAutospacing="0" w:after="0" w:afterAutospacing="0"/>
        <w:jc w:val="both"/>
        <w:rPr>
          <w:color w:val="000000"/>
        </w:rPr>
      </w:pPr>
      <w:r w:rsidRPr="00C760EA">
        <w:rPr>
          <w:color w:val="000000"/>
        </w:rPr>
        <w:t>2. On a review based on representations received, the prudential borrowing limits for transactions in Call, Notice and Term Money Markets have been revised. Accordingly, in Part 4 (b) of the Master Directions, Table 1 is being revised as under:</w:t>
      </w:r>
    </w:p>
    <w:p w:rsidR="001734DD" w:rsidRPr="00544DBA" w:rsidRDefault="001734DD" w:rsidP="001734DD">
      <w:pPr>
        <w:spacing w:after="0" w:line="240" w:lineRule="auto"/>
        <w:rPr>
          <w:rFonts w:ascii="Times New Roman" w:eastAsia="Times New Roman" w:hAnsi="Times New Roman" w:cs="Times New Roman"/>
          <w:sz w:val="24"/>
          <w:szCs w:val="24"/>
          <w:lang w:eastAsia="en-IN"/>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2777"/>
        <w:gridCol w:w="5133"/>
      </w:tblGrid>
      <w:tr w:rsidR="001734DD" w:rsidRPr="00544DBA" w:rsidTr="00B02BBD">
        <w:tc>
          <w:tcPr>
            <w:tcW w:w="0" w:type="auto"/>
            <w:gridSpan w:val="3"/>
            <w:tcMar>
              <w:top w:w="0" w:type="dxa"/>
              <w:left w:w="45" w:type="dxa"/>
              <w:bottom w:w="0" w:type="dxa"/>
              <w:right w:w="45" w:type="dxa"/>
            </w:tcMar>
            <w:vAlign w:val="cente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Table 1: Prudential limits for outstanding borrowing transactions in Call, Notice and Term Money Markets</w:t>
            </w:r>
          </w:p>
        </w:tc>
      </w:tr>
      <w:tr w:rsidR="001734DD" w:rsidRPr="00544DBA" w:rsidTr="00B02BBD">
        <w:tc>
          <w:tcPr>
            <w:tcW w:w="300" w:type="pct"/>
            <w:tcMar>
              <w:top w:w="0" w:type="dxa"/>
              <w:left w:w="45" w:type="dxa"/>
              <w:bottom w:w="0" w:type="dxa"/>
              <w:right w:w="45" w:type="dxa"/>
            </w:tcMar>
            <w:vAlign w:val="cente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Sr. No.</w:t>
            </w:r>
          </w:p>
        </w:tc>
        <w:tc>
          <w:tcPr>
            <w:tcW w:w="1650" w:type="pct"/>
            <w:tcMar>
              <w:top w:w="0" w:type="dxa"/>
              <w:left w:w="45" w:type="dxa"/>
              <w:bottom w:w="0" w:type="dxa"/>
              <w:right w:w="45" w:type="dxa"/>
            </w:tcMar>
            <w:vAlign w:val="cente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Participant Category</w:t>
            </w:r>
          </w:p>
        </w:tc>
        <w:tc>
          <w:tcPr>
            <w:tcW w:w="3050" w:type="pct"/>
            <w:tcMar>
              <w:top w:w="0" w:type="dxa"/>
              <w:left w:w="45" w:type="dxa"/>
              <w:bottom w:w="0" w:type="dxa"/>
              <w:right w:w="45" w:type="dxa"/>
            </w:tcMar>
            <w:vAlign w:val="cente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Prudential Limit</w:t>
            </w:r>
          </w:p>
        </w:tc>
      </w:tr>
      <w:tr w:rsidR="001734DD" w:rsidRPr="00544DBA" w:rsidTr="00B02BBD">
        <w:tc>
          <w:tcPr>
            <w:tcW w:w="0" w:type="auto"/>
            <w:tcMar>
              <w:top w:w="0" w:type="dxa"/>
              <w:left w:w="45" w:type="dxa"/>
              <w:bottom w:w="0" w:type="dxa"/>
              <w:right w:w="45" w:type="dxa"/>
            </w:tcMa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1</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Scheduled Commercial Banks (including Small Finance Banks)</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Internal board approved limit within the prudential limits for inter-bank liabilities.</w:t>
            </w:r>
          </w:p>
        </w:tc>
      </w:tr>
      <w:tr w:rsidR="001734DD" w:rsidRPr="00544DBA" w:rsidTr="00B02BBD">
        <w:tc>
          <w:tcPr>
            <w:tcW w:w="0" w:type="auto"/>
            <w:tcMar>
              <w:top w:w="0" w:type="dxa"/>
              <w:left w:w="45" w:type="dxa"/>
              <w:bottom w:w="0" w:type="dxa"/>
              <w:right w:w="45" w:type="dxa"/>
            </w:tcMa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2</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Payment Banks and Regional Rural Banks</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b/>
                <w:bCs/>
                <w:color w:val="000000"/>
                <w:sz w:val="20"/>
                <w:szCs w:val="20"/>
                <w:lang w:eastAsia="en-IN"/>
              </w:rPr>
              <w:br/>
            </w:r>
            <w:r w:rsidRPr="00544DBA">
              <w:rPr>
                <w:rFonts w:ascii="Arial" w:eastAsia="Times New Roman" w:hAnsi="Arial" w:cs="Arial"/>
                <w:color w:val="000000"/>
                <w:sz w:val="20"/>
                <w:szCs w:val="20"/>
                <w:lang w:eastAsia="en-IN"/>
              </w:rPr>
              <w:br/>
              <w:t>(i) 100% of capital funds, on a daily average basis in a reporting fortnight, and</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(ii) 125% of capital funds on any given day.</w:t>
            </w:r>
          </w:p>
        </w:tc>
      </w:tr>
      <w:tr w:rsidR="001734DD" w:rsidRPr="00544DBA" w:rsidTr="00B02BBD">
        <w:tc>
          <w:tcPr>
            <w:tcW w:w="0" w:type="auto"/>
            <w:tcMar>
              <w:top w:w="0" w:type="dxa"/>
              <w:left w:w="45" w:type="dxa"/>
              <w:bottom w:w="0" w:type="dxa"/>
              <w:right w:w="45" w:type="dxa"/>
            </w:tcMa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3</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Co-operative Banks</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Notice and 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2.0% of aggregate deposits as at the end of the previous financial year.</w:t>
            </w:r>
          </w:p>
        </w:tc>
      </w:tr>
      <w:tr w:rsidR="001734DD" w:rsidRPr="00544DBA" w:rsidTr="00B02BBD">
        <w:tc>
          <w:tcPr>
            <w:tcW w:w="0" w:type="auto"/>
            <w:tcMar>
              <w:top w:w="0" w:type="dxa"/>
              <w:left w:w="45" w:type="dxa"/>
              <w:bottom w:w="0" w:type="dxa"/>
              <w:right w:w="45" w:type="dxa"/>
            </w:tcMar>
            <w:hideMark/>
          </w:tcPr>
          <w:p w:rsidR="001734DD" w:rsidRPr="00544DBA" w:rsidRDefault="001734DD" w:rsidP="00B02BBD">
            <w:pPr>
              <w:spacing w:after="0" w:line="240" w:lineRule="auto"/>
              <w:jc w:val="center"/>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4</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color w:val="000000"/>
                <w:sz w:val="20"/>
                <w:szCs w:val="20"/>
                <w:lang w:eastAsia="en-IN"/>
              </w:rPr>
              <w:t>Primary Dealers</w:t>
            </w:r>
          </w:p>
        </w:tc>
        <w:tc>
          <w:tcPr>
            <w:tcW w:w="0" w:type="auto"/>
            <w:tcMar>
              <w:top w:w="0" w:type="dxa"/>
              <w:left w:w="45" w:type="dxa"/>
              <w:bottom w:w="0" w:type="dxa"/>
              <w:right w:w="45" w:type="dxa"/>
            </w:tcMar>
            <w:hideMark/>
          </w:tcPr>
          <w:p w:rsidR="001734DD" w:rsidRPr="00544DBA" w:rsidRDefault="001734DD" w:rsidP="00B02BBD">
            <w:pPr>
              <w:spacing w:after="0" w:line="240" w:lineRule="auto"/>
              <w:rPr>
                <w:rFonts w:ascii="Arial" w:eastAsia="Times New Roman" w:hAnsi="Arial" w:cs="Arial"/>
                <w:color w:val="000000"/>
                <w:sz w:val="20"/>
                <w:szCs w:val="20"/>
                <w:lang w:eastAsia="en-IN"/>
              </w:rPr>
            </w:pPr>
            <w:r w:rsidRPr="00544DBA">
              <w:rPr>
                <w:rFonts w:ascii="Arial" w:eastAsia="Times New Roman" w:hAnsi="Arial" w:cs="Arial"/>
                <w:b/>
                <w:bCs/>
                <w:color w:val="000000"/>
                <w:sz w:val="20"/>
                <w:szCs w:val="20"/>
                <w:lang w:eastAsia="en-IN"/>
              </w:rPr>
              <w:t>Call and Notice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t>(i) 225% of Net Owned Fund (NOF) as at the end of the previous financial year on a daily average basis in a reporting fortnight.</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b/>
                <w:bCs/>
                <w:color w:val="000000"/>
                <w:sz w:val="20"/>
                <w:szCs w:val="20"/>
                <w:lang w:eastAsia="en-IN"/>
              </w:rPr>
              <w:t>Term Money:</w:t>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br/>
            </w:r>
            <w:r w:rsidRPr="00544DBA">
              <w:rPr>
                <w:rFonts w:ascii="Arial" w:eastAsia="Times New Roman" w:hAnsi="Arial" w:cs="Arial"/>
                <w:color w:val="000000"/>
                <w:sz w:val="20"/>
                <w:szCs w:val="20"/>
                <w:lang w:eastAsia="en-IN"/>
              </w:rPr>
              <w:lastRenderedPageBreak/>
              <w:t>(i) 225% of Net Owned Fund (NOF) as at the end of the previous financial year.</w:t>
            </w:r>
          </w:p>
        </w:tc>
      </w:tr>
    </w:tbl>
    <w:p w:rsidR="001734DD" w:rsidRPr="00C760EA"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3. These Directions have been issued by RBI in exercise of the powers conferred under section 45W of the Reserve Bank of India Act, 1934 and of all the powers enabling it in this behalf.</w:t>
      </w:r>
    </w:p>
    <w:p w:rsidR="001734DD" w:rsidRPr="00C760EA" w:rsidRDefault="001734DD" w:rsidP="001734DD">
      <w:pPr>
        <w:pStyle w:val="NormalWeb"/>
        <w:shd w:val="clear" w:color="auto" w:fill="FFFFFF"/>
        <w:spacing w:before="0" w:beforeAutospacing="0" w:after="0" w:afterAutospacing="0"/>
        <w:jc w:val="both"/>
        <w:rPr>
          <w:color w:val="000000"/>
        </w:rPr>
      </w:pPr>
    </w:p>
    <w:p w:rsidR="001734DD" w:rsidRDefault="001734DD" w:rsidP="001734DD">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These changes shall be applicable with immediate effect.</w:t>
      </w:r>
    </w:p>
    <w:p w:rsidR="001734DD" w:rsidRPr="00C760EA"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1734DD" w:rsidRDefault="003327B0" w:rsidP="001734DD">
      <w:pPr>
        <w:pStyle w:val="NormalWeb"/>
        <w:pBdr>
          <w:bottom w:val="single" w:sz="12" w:space="1" w:color="auto"/>
        </w:pBdr>
        <w:shd w:val="clear" w:color="auto" w:fill="FFFFFF"/>
        <w:spacing w:before="0" w:beforeAutospacing="0" w:after="0" w:afterAutospacing="0"/>
        <w:jc w:val="both"/>
        <w:rPr>
          <w:color w:val="000000"/>
        </w:rPr>
      </w:pPr>
      <w:hyperlink r:id="rId9" w:history="1">
        <w:r w:rsidR="001734DD" w:rsidRPr="00C760EA">
          <w:rPr>
            <w:rStyle w:val="Hyperlink"/>
          </w:rPr>
          <w:t>https://www.rbi.org.in/Scripts/NotificationUser.aspx?Id=12120&amp;Mode=0</w:t>
        </w:r>
      </w:hyperlink>
      <w:r w:rsidR="001734DD" w:rsidRPr="00C760EA">
        <w:rPr>
          <w:color w:val="000000"/>
        </w:rPr>
        <w:t xml:space="preserve"> </w:t>
      </w:r>
    </w:p>
    <w:p w:rsidR="001734DD" w:rsidRPr="00C760EA"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1734DD" w:rsidRDefault="00372F67" w:rsidP="001734DD">
      <w:pPr>
        <w:pStyle w:val="NormalWeb"/>
        <w:shd w:val="clear" w:color="auto" w:fill="FFFFFF"/>
        <w:spacing w:before="0" w:beforeAutospacing="0" w:after="0" w:afterAutospacing="0"/>
        <w:jc w:val="both"/>
        <w:rPr>
          <w:b/>
          <w:bCs/>
          <w:color w:val="000000"/>
        </w:rPr>
      </w:pPr>
      <w:r>
        <w:rPr>
          <w:b/>
          <w:bCs/>
          <w:color w:val="000000"/>
        </w:rPr>
        <w:t>3.</w:t>
      </w:r>
      <w:r w:rsidR="001734DD" w:rsidRPr="00C760EA">
        <w:rPr>
          <w:b/>
          <w:bCs/>
          <w:color w:val="000000"/>
        </w:rPr>
        <w:t>Declaration of dividends by NBFCs</w:t>
      </w:r>
    </w:p>
    <w:p w:rsidR="001734DD" w:rsidRPr="00C760EA" w:rsidRDefault="001734DD" w:rsidP="001734DD">
      <w:pPr>
        <w:pStyle w:val="NormalWeb"/>
        <w:shd w:val="clear" w:color="auto" w:fill="FFFFFF"/>
        <w:spacing w:before="0" w:beforeAutospacing="0" w:after="0" w:afterAutospacing="0"/>
        <w:jc w:val="both"/>
        <w:rPr>
          <w:b/>
          <w:bCs/>
          <w:color w:val="000000"/>
        </w:rPr>
      </w:pPr>
    </w:p>
    <w:p w:rsidR="001734DD" w:rsidRPr="00762028" w:rsidRDefault="001734DD" w:rsidP="001734DD">
      <w:pPr>
        <w:pStyle w:val="NormalWeb"/>
        <w:shd w:val="clear" w:color="auto" w:fill="FFFFFF"/>
        <w:spacing w:before="0" w:beforeAutospacing="0" w:after="0" w:afterAutospacing="0"/>
        <w:jc w:val="both"/>
        <w:rPr>
          <w:b/>
          <w:color w:val="000000"/>
        </w:rPr>
      </w:pPr>
      <w:r w:rsidRPr="00762028">
        <w:rPr>
          <w:b/>
          <w:color w:val="000000"/>
        </w:rPr>
        <w:t>RBI/2021-22/59DOR.ACC.REC.No.23/21.02.067/2021-22</w:t>
      </w:r>
      <w:r w:rsidRPr="00762028">
        <w:rPr>
          <w:b/>
          <w:color w:val="000000"/>
        </w:rPr>
        <w:tab/>
      </w:r>
      <w:r w:rsidRPr="00762028">
        <w:rPr>
          <w:b/>
          <w:color w:val="000000"/>
        </w:rPr>
        <w:tab/>
        <w:t>June 24, 2021</w:t>
      </w:r>
    </w:p>
    <w:p w:rsidR="001734DD" w:rsidRDefault="001734DD" w:rsidP="001734DD">
      <w:pPr>
        <w:pStyle w:val="NormalWeb"/>
        <w:shd w:val="clear" w:color="auto" w:fill="FFFFFF"/>
        <w:spacing w:before="0" w:beforeAutospacing="0" w:after="0" w:afterAutospacing="0"/>
        <w:jc w:val="both"/>
        <w:rPr>
          <w:i/>
          <w:color w:val="000000"/>
        </w:rPr>
      </w:pPr>
    </w:p>
    <w:p w:rsidR="001734DD" w:rsidRPr="00762028" w:rsidRDefault="001734DD" w:rsidP="001734DD">
      <w:pPr>
        <w:pStyle w:val="NormalWeb"/>
        <w:shd w:val="clear" w:color="auto" w:fill="FFFFFF"/>
        <w:spacing w:before="0" w:beforeAutospacing="0" w:after="0" w:afterAutospacing="0"/>
        <w:jc w:val="both"/>
        <w:rPr>
          <w:i/>
          <w:color w:val="000000"/>
        </w:rPr>
      </w:pPr>
      <w:r w:rsidRPr="00762028">
        <w:rPr>
          <w:i/>
          <w:color w:val="000000"/>
        </w:rPr>
        <w:t>All Non-Banking Financial Companies (NBFCs)</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In order to infuse greater transparency and uniformity in practice, it has been decided to prescribe guidelines on distribution of dividend by NBFCs.</w:t>
      </w:r>
    </w:p>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Applicability</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2. These guidelines shall be applicable to all NBFCs regulated by RBI</w:t>
      </w:r>
      <w:hyperlink r:id="rId10" w:anchor="FT1" w:history="1">
        <w:r w:rsidRPr="00C760EA">
          <w:rPr>
            <w:rStyle w:val="Hyperlink"/>
            <w:vertAlign w:val="superscript"/>
          </w:rPr>
          <w:t>1</w:t>
        </w:r>
      </w:hyperlink>
      <w:r w:rsidRPr="00C760EA">
        <w:rPr>
          <w:color w:val="000000"/>
        </w:rPr>
        <w:t> as below:</w:t>
      </w:r>
    </w:p>
    <w:p w:rsidR="001734DD" w:rsidRPr="00C760EA" w:rsidRDefault="001734DD" w:rsidP="001734DD">
      <w:pPr>
        <w:pStyle w:val="NormalWeb"/>
        <w:numPr>
          <w:ilvl w:val="0"/>
          <w:numId w:val="1"/>
        </w:numPr>
        <w:shd w:val="clear" w:color="auto" w:fill="FFFFFF"/>
        <w:spacing w:before="0" w:beforeAutospacing="0" w:after="0" w:afterAutospacing="0"/>
        <w:jc w:val="both"/>
        <w:rPr>
          <w:color w:val="000000"/>
        </w:rPr>
      </w:pPr>
      <w:r w:rsidRPr="00C760EA">
        <w:rPr>
          <w:color w:val="000000"/>
        </w:rPr>
        <w:t>Applicable NBFCs as defined in Paragraph 2(2) of </w:t>
      </w:r>
      <w:hyperlink r:id="rId11" w:tgtFrame="_blank" w:history="1">
        <w:r w:rsidRPr="00C760EA">
          <w:rPr>
            <w:rStyle w:val="Hyperlink"/>
          </w:rPr>
          <w:t>Non-Banking Financial Company - Systemically Important Non-Deposit taking Company and Deposit taking Company (Reserve Bank) Directions, 2016;</w:t>
        </w:r>
      </w:hyperlink>
      <w:r w:rsidRPr="00C760EA">
        <w:rPr>
          <w:color w:val="000000"/>
        </w:rPr>
        <w:t> and</w:t>
      </w:r>
    </w:p>
    <w:p w:rsidR="001734DD" w:rsidRPr="00C760EA" w:rsidRDefault="001734DD" w:rsidP="001734DD">
      <w:pPr>
        <w:pStyle w:val="NormalWeb"/>
        <w:numPr>
          <w:ilvl w:val="0"/>
          <w:numId w:val="1"/>
        </w:numPr>
        <w:shd w:val="clear" w:color="auto" w:fill="FFFFFF"/>
        <w:spacing w:before="0" w:beforeAutospacing="0" w:after="0" w:afterAutospacing="0"/>
        <w:jc w:val="both"/>
        <w:rPr>
          <w:color w:val="000000"/>
        </w:rPr>
      </w:pPr>
      <w:r w:rsidRPr="00C760EA">
        <w:rPr>
          <w:color w:val="000000"/>
        </w:rPr>
        <w:t>Applicable NBFCs as defined in Paragraph 2(2) of </w:t>
      </w:r>
      <w:hyperlink r:id="rId12" w:tgtFrame="_blank" w:history="1">
        <w:r w:rsidRPr="00C760EA">
          <w:rPr>
            <w:rStyle w:val="Hyperlink"/>
          </w:rPr>
          <w:t>Non-Banking Financial Company – Non-Systemically Important Non-Deposit taking Company (Reserve Bank) Directions, 2016</w:t>
        </w:r>
      </w:hyperlink>
      <w:r w:rsidRPr="00C760EA">
        <w:rPr>
          <w:color w:val="000000"/>
        </w:rPr>
        <w:t>.</w:t>
      </w:r>
    </w:p>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Effective Date</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3. These guidelines shall be effective for declaration of dividend from the profits of the financial year ending March 31, 2022 and onwards.</w:t>
      </w:r>
    </w:p>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Board Oversight</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4. The Board of Directors shall, while considering the proposals for dividend, take into account the following aspects:</w:t>
      </w:r>
    </w:p>
    <w:p w:rsidR="001734DD" w:rsidRPr="00C760EA" w:rsidRDefault="001734DD" w:rsidP="001734DD">
      <w:pPr>
        <w:pStyle w:val="NormalWeb"/>
        <w:numPr>
          <w:ilvl w:val="0"/>
          <w:numId w:val="2"/>
        </w:numPr>
        <w:shd w:val="clear" w:color="auto" w:fill="FFFFFF"/>
        <w:spacing w:before="0" w:beforeAutospacing="0" w:after="0" w:afterAutospacing="0"/>
        <w:jc w:val="both"/>
        <w:rPr>
          <w:color w:val="000000"/>
        </w:rPr>
      </w:pPr>
      <w:r w:rsidRPr="00C760EA">
        <w:rPr>
          <w:color w:val="000000"/>
        </w:rPr>
        <w:t>Supervisory findings of the Reserve Bank (National Housing Bank (NHB) for HFCs) on divergence in classification and provisioning for Non-Performing Assets (NPAs).</w:t>
      </w:r>
    </w:p>
    <w:p w:rsidR="001734DD" w:rsidRPr="00C760EA" w:rsidRDefault="001734DD" w:rsidP="001734DD">
      <w:pPr>
        <w:pStyle w:val="NormalWeb"/>
        <w:numPr>
          <w:ilvl w:val="0"/>
          <w:numId w:val="2"/>
        </w:numPr>
        <w:shd w:val="clear" w:color="auto" w:fill="FFFFFF"/>
        <w:spacing w:before="0" w:beforeAutospacing="0" w:after="0" w:afterAutospacing="0"/>
        <w:jc w:val="both"/>
        <w:rPr>
          <w:color w:val="000000"/>
        </w:rPr>
      </w:pPr>
      <w:r w:rsidRPr="00C760EA">
        <w:rPr>
          <w:color w:val="000000"/>
        </w:rPr>
        <w:t>Qualifications in the Auditors’ Report to the financial statements; and</w:t>
      </w:r>
    </w:p>
    <w:p w:rsidR="001734DD" w:rsidRPr="00C760EA" w:rsidRDefault="001734DD" w:rsidP="001734DD">
      <w:pPr>
        <w:pStyle w:val="NormalWeb"/>
        <w:numPr>
          <w:ilvl w:val="0"/>
          <w:numId w:val="2"/>
        </w:numPr>
        <w:shd w:val="clear" w:color="auto" w:fill="FFFFFF"/>
        <w:spacing w:before="0" w:beforeAutospacing="0" w:after="0" w:afterAutospacing="0"/>
        <w:jc w:val="both"/>
        <w:rPr>
          <w:color w:val="000000"/>
        </w:rPr>
      </w:pPr>
      <w:r w:rsidRPr="00C760EA">
        <w:rPr>
          <w:color w:val="000000"/>
        </w:rPr>
        <w:t>Long term growth plans of the NBFC.</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The Board shall ensure that the total dividend proposed for the financial year does not exceed the ceilings specified in these guidelines.</w:t>
      </w:r>
    </w:p>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Eligibility criteria</w:t>
      </w:r>
    </w:p>
    <w:p w:rsidR="001734DD" w:rsidRDefault="001734DD" w:rsidP="001734DD">
      <w:pPr>
        <w:pStyle w:val="NormalWeb"/>
        <w:shd w:val="clear" w:color="auto" w:fill="FFFFFF"/>
        <w:spacing w:before="0" w:beforeAutospacing="0" w:after="0" w:afterAutospacing="0"/>
        <w:jc w:val="both"/>
        <w:rPr>
          <w:color w:val="000000"/>
        </w:rPr>
      </w:pPr>
      <w:r w:rsidRPr="00C760EA">
        <w:rPr>
          <w:color w:val="000000"/>
        </w:rPr>
        <w:t>5. NBFCs shall comply with the following minimum prudential requirements to be eligible to declare dividend:</w:t>
      </w:r>
    </w:p>
    <w:p w:rsidR="001734DD" w:rsidRPr="00C760EA" w:rsidRDefault="001734DD" w:rsidP="001734DD">
      <w:pPr>
        <w:pStyle w:val="NormalWeb"/>
        <w:shd w:val="clear" w:color="auto" w:fill="FFFFFF"/>
        <w:spacing w:before="0" w:beforeAutospacing="0" w:after="0" w:afterAutospacing="0"/>
        <w:jc w:val="both"/>
        <w:rPr>
          <w:color w:val="000000"/>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5"/>
        <w:gridCol w:w="1764"/>
        <w:gridCol w:w="6314"/>
      </w:tblGrid>
      <w:tr w:rsidR="001734DD" w:rsidRPr="00C760EA" w:rsidTr="00B02BBD">
        <w:trPr>
          <w:jc w:val="center"/>
        </w:trPr>
        <w:tc>
          <w:tcPr>
            <w:tcW w:w="5000" w:type="pct"/>
            <w:gridSpan w:val="3"/>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lastRenderedPageBreak/>
              <w:t>Table 1: Declaration of Dividend: Minimum Prudential Requirements</w:t>
            </w:r>
          </w:p>
        </w:tc>
      </w:tr>
      <w:tr w:rsidR="001734DD" w:rsidRPr="00C760EA" w:rsidTr="00B02BBD">
        <w:trPr>
          <w:jc w:val="center"/>
        </w:trPr>
        <w:tc>
          <w:tcPr>
            <w:tcW w:w="563"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Sl. No.</w:t>
            </w:r>
          </w:p>
        </w:tc>
        <w:tc>
          <w:tcPr>
            <w:tcW w:w="969"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Parameter</w:t>
            </w:r>
          </w:p>
        </w:tc>
        <w:tc>
          <w:tcPr>
            <w:tcW w:w="3468"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Requirement</w:t>
            </w:r>
          </w:p>
        </w:tc>
      </w:tr>
      <w:tr w:rsidR="001734DD" w:rsidRPr="00C760EA" w:rsidTr="00B02BBD">
        <w:trPr>
          <w:jc w:val="center"/>
        </w:trPr>
        <w:tc>
          <w:tcPr>
            <w:tcW w:w="563" w:type="pct"/>
            <w:tcMar>
              <w:top w:w="0" w:type="dxa"/>
              <w:left w:w="45" w:type="dxa"/>
              <w:bottom w:w="0" w:type="dxa"/>
              <w:right w:w="45" w:type="dxa"/>
            </w:tcMa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1.</w:t>
            </w:r>
          </w:p>
        </w:tc>
        <w:tc>
          <w:tcPr>
            <w:tcW w:w="969" w:type="pct"/>
            <w:tcMar>
              <w:top w:w="0" w:type="dxa"/>
              <w:left w:w="45" w:type="dxa"/>
              <w:bottom w:w="0" w:type="dxa"/>
              <w:right w:w="45" w:type="dxa"/>
            </w:tcMa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Capital Adequacy</w:t>
            </w:r>
          </w:p>
        </w:tc>
        <w:tc>
          <w:tcPr>
            <w:tcW w:w="3468" w:type="pct"/>
            <w:tcMar>
              <w:top w:w="0" w:type="dxa"/>
              <w:left w:w="45" w:type="dxa"/>
              <w:bottom w:w="0" w:type="dxa"/>
              <w:right w:w="45" w:type="dxa"/>
            </w:tcMa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(a) NBFCs (other than Standalone Primary Dealers) shall have met the applicable regulatory capital requirement (refer </w:t>
            </w:r>
            <w:hyperlink r:id="rId13" w:tgtFrame="_blank" w:history="1">
              <w:r w:rsidRPr="00C760EA">
                <w:rPr>
                  <w:rStyle w:val="Hyperlink"/>
                  <w:rFonts w:ascii="Times New Roman" w:hAnsi="Times New Roman" w:cs="Times New Roman"/>
                  <w:sz w:val="24"/>
                  <w:szCs w:val="24"/>
                </w:rPr>
                <w:t>Annex I</w:t>
              </w:r>
            </w:hyperlink>
            <w:r w:rsidRPr="00C760EA">
              <w:rPr>
                <w:rFonts w:ascii="Times New Roman" w:hAnsi="Times New Roman" w:cs="Times New Roman"/>
                <w:color w:val="000000"/>
                <w:sz w:val="24"/>
                <w:szCs w:val="24"/>
              </w:rPr>
              <w:t>) for each of the last three</w:t>
            </w:r>
            <w:hyperlink r:id="rId14" w:anchor="FT2" w:history="1">
              <w:r w:rsidRPr="00C760EA">
                <w:rPr>
                  <w:rStyle w:val="Hyperlink"/>
                  <w:rFonts w:ascii="Times New Roman" w:hAnsi="Times New Roman" w:cs="Times New Roman"/>
                  <w:sz w:val="24"/>
                  <w:szCs w:val="24"/>
                  <w:vertAlign w:val="superscript"/>
                </w:rPr>
                <w:t>2</w:t>
              </w:r>
            </w:hyperlink>
            <w:r w:rsidRPr="00C760EA">
              <w:rPr>
                <w:rFonts w:ascii="Times New Roman" w:hAnsi="Times New Roman" w:cs="Times New Roman"/>
                <w:color w:val="000000"/>
                <w:sz w:val="24"/>
                <w:szCs w:val="24"/>
              </w:rPr>
              <w:t> financial years including the financial year for which the dividend is proposed.</w:t>
            </w:r>
            <w:r w:rsidRPr="00C760EA">
              <w:rPr>
                <w:rFonts w:ascii="Times New Roman" w:hAnsi="Times New Roman" w:cs="Times New Roman"/>
                <w:color w:val="000000"/>
                <w:sz w:val="24"/>
                <w:szCs w:val="24"/>
              </w:rPr>
              <w:br/>
            </w:r>
            <w:r w:rsidRPr="00C760EA">
              <w:rPr>
                <w:rFonts w:ascii="Times New Roman" w:hAnsi="Times New Roman" w:cs="Times New Roman"/>
                <w:color w:val="000000"/>
                <w:sz w:val="24"/>
                <w:szCs w:val="24"/>
              </w:rPr>
              <w:br/>
              <w:t>(b) Standalone Primary Dealers (SPDs) should have maintained a minimum CRAR of 20 per cent for the financial year (all the four quarters) for which dividend is proposed.</w:t>
            </w:r>
          </w:p>
        </w:tc>
      </w:tr>
      <w:tr w:rsidR="001734DD" w:rsidRPr="00C760EA" w:rsidTr="00B02BBD">
        <w:trPr>
          <w:jc w:val="center"/>
        </w:trPr>
        <w:tc>
          <w:tcPr>
            <w:tcW w:w="563" w:type="pct"/>
            <w:tcMar>
              <w:top w:w="0" w:type="dxa"/>
              <w:left w:w="45" w:type="dxa"/>
              <w:bottom w:w="0" w:type="dxa"/>
              <w:right w:w="45" w:type="dxa"/>
            </w:tcMa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2.</w:t>
            </w:r>
          </w:p>
        </w:tc>
        <w:tc>
          <w:tcPr>
            <w:tcW w:w="969" w:type="pct"/>
            <w:tcMar>
              <w:top w:w="0" w:type="dxa"/>
              <w:left w:w="45" w:type="dxa"/>
              <w:bottom w:w="0" w:type="dxa"/>
              <w:right w:w="45" w:type="dxa"/>
            </w:tcMa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Net NPA</w:t>
            </w:r>
          </w:p>
        </w:tc>
        <w:tc>
          <w:tcPr>
            <w:tcW w:w="3468" w:type="pct"/>
            <w:tcMar>
              <w:top w:w="0" w:type="dxa"/>
              <w:left w:w="45" w:type="dxa"/>
              <w:bottom w:w="0" w:type="dxa"/>
              <w:right w:w="45" w:type="dxa"/>
            </w:tcMa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The net NPA ratio shall be less than 6 per cent in each of the last three years, including as at the close of the financial year for which dividend is proposed to be declared.</w:t>
            </w:r>
          </w:p>
        </w:tc>
      </w:tr>
      <w:tr w:rsidR="001734DD" w:rsidRPr="00C760EA" w:rsidTr="00B02BBD">
        <w:trPr>
          <w:jc w:val="center"/>
        </w:trPr>
        <w:tc>
          <w:tcPr>
            <w:tcW w:w="563" w:type="pct"/>
            <w:tcMar>
              <w:top w:w="0" w:type="dxa"/>
              <w:left w:w="45" w:type="dxa"/>
              <w:bottom w:w="0" w:type="dxa"/>
              <w:right w:w="45" w:type="dxa"/>
            </w:tcMa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3.</w:t>
            </w:r>
          </w:p>
        </w:tc>
        <w:tc>
          <w:tcPr>
            <w:tcW w:w="969" w:type="pct"/>
            <w:tcMar>
              <w:top w:w="0" w:type="dxa"/>
              <w:left w:w="45" w:type="dxa"/>
              <w:bottom w:w="0" w:type="dxa"/>
              <w:right w:w="45" w:type="dxa"/>
            </w:tcMa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Other criteria</w:t>
            </w:r>
          </w:p>
        </w:tc>
        <w:tc>
          <w:tcPr>
            <w:tcW w:w="3468" w:type="pct"/>
            <w:tcMar>
              <w:top w:w="0" w:type="dxa"/>
              <w:left w:w="45" w:type="dxa"/>
              <w:bottom w:w="0" w:type="dxa"/>
              <w:right w:w="45" w:type="dxa"/>
            </w:tcMar>
            <w:hideMark/>
          </w:tcPr>
          <w:p w:rsidR="001734DD" w:rsidRPr="00C760EA" w:rsidRDefault="001734DD" w:rsidP="00B02BBD">
            <w:pPr>
              <w:spacing w:after="0" w:line="240" w:lineRule="auto"/>
              <w:rPr>
                <w:rFonts w:ascii="Times New Roman" w:hAnsi="Times New Roman" w:cs="Times New Roman"/>
                <w:color w:val="000000"/>
                <w:sz w:val="24"/>
                <w:szCs w:val="24"/>
              </w:rPr>
            </w:pPr>
            <w:r w:rsidRPr="00C760EA">
              <w:rPr>
                <w:rFonts w:ascii="Times New Roman" w:hAnsi="Times New Roman" w:cs="Times New Roman"/>
                <w:color w:val="000000"/>
                <w:sz w:val="24"/>
                <w:szCs w:val="24"/>
              </w:rPr>
              <w:t>(a) NBFCs shall comply with the provisions of Section 45 IC of the Reserve Bank of India Act, 1934. HFCs shall comply with the provisions of Section 29 C of The National Housing Bank Act, 1987.</w:t>
            </w:r>
            <w:r>
              <w:rPr>
                <w:rFonts w:ascii="Times New Roman" w:hAnsi="Times New Roman" w:cs="Times New Roman"/>
                <w:color w:val="000000"/>
                <w:sz w:val="24"/>
                <w:szCs w:val="24"/>
              </w:rPr>
              <w:t xml:space="preserve"> </w:t>
            </w:r>
            <w:r w:rsidRPr="00C760EA">
              <w:rPr>
                <w:rFonts w:ascii="Times New Roman" w:hAnsi="Times New Roman" w:cs="Times New Roman"/>
                <w:color w:val="000000"/>
                <w:sz w:val="24"/>
                <w:szCs w:val="24"/>
              </w:rPr>
              <w:br/>
            </w:r>
            <w:r w:rsidRPr="00C760EA">
              <w:rPr>
                <w:rFonts w:ascii="Times New Roman" w:hAnsi="Times New Roman" w:cs="Times New Roman"/>
                <w:color w:val="000000"/>
                <w:sz w:val="24"/>
                <w:szCs w:val="24"/>
              </w:rPr>
              <w:br/>
              <w:t>(b) NBFCs shall be compliant with the prevailing regulations/ guidelines issued by the Reserve Bank. The Reserve Bank or the NHB (for HFCs) shall not have placed any explicit restrictions on declaration of dividend.</w:t>
            </w:r>
          </w:p>
        </w:tc>
      </w:tr>
    </w:tbl>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Quantum of Dividend Payable</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6. NBFCs eligible to declare dividend as per paragraph 5 above, may pay dividend, subject to the following:</w:t>
      </w:r>
    </w:p>
    <w:p w:rsidR="001734DD" w:rsidRPr="00C760EA" w:rsidRDefault="001734DD" w:rsidP="001734DD">
      <w:pPr>
        <w:pStyle w:val="NormalWeb"/>
        <w:numPr>
          <w:ilvl w:val="0"/>
          <w:numId w:val="3"/>
        </w:numPr>
        <w:shd w:val="clear" w:color="auto" w:fill="FFFFFF"/>
        <w:spacing w:before="0" w:beforeAutospacing="0" w:after="0" w:afterAutospacing="0"/>
        <w:jc w:val="both"/>
        <w:rPr>
          <w:color w:val="000000"/>
        </w:rPr>
      </w:pPr>
      <w:r w:rsidRPr="00C760EA">
        <w:rPr>
          <w:color w:val="000000"/>
        </w:rPr>
        <w:t>The Dividend Payout Ratio is the ratio between the amount of the dividend payable in a year and the net profit as per the audited financial statements for the financial year for which the dividend is proposed.</w:t>
      </w:r>
    </w:p>
    <w:p w:rsidR="001734DD" w:rsidRPr="00C760EA" w:rsidRDefault="001734DD" w:rsidP="001734DD">
      <w:pPr>
        <w:pStyle w:val="NormalWeb"/>
        <w:numPr>
          <w:ilvl w:val="0"/>
          <w:numId w:val="3"/>
        </w:numPr>
        <w:shd w:val="clear" w:color="auto" w:fill="FFFFFF"/>
        <w:spacing w:before="0" w:beforeAutospacing="0" w:after="0" w:afterAutospacing="0"/>
        <w:jc w:val="both"/>
        <w:rPr>
          <w:color w:val="000000"/>
        </w:rPr>
      </w:pPr>
      <w:r w:rsidRPr="00C760EA">
        <w:rPr>
          <w:color w:val="000000"/>
        </w:rPr>
        <w:t>Proposed dividend shall include both dividend on equity shares and compulsorily convertible preference shares eligible for inclusion in Tier 1 Capital.</w:t>
      </w:r>
    </w:p>
    <w:p w:rsidR="001734DD" w:rsidRPr="00C760EA" w:rsidRDefault="001734DD" w:rsidP="001734DD">
      <w:pPr>
        <w:pStyle w:val="NormalWeb"/>
        <w:numPr>
          <w:ilvl w:val="0"/>
          <w:numId w:val="3"/>
        </w:numPr>
        <w:shd w:val="clear" w:color="auto" w:fill="FFFFFF"/>
        <w:spacing w:before="0" w:beforeAutospacing="0" w:after="0" w:afterAutospacing="0"/>
        <w:jc w:val="both"/>
        <w:rPr>
          <w:color w:val="000000"/>
        </w:rPr>
      </w:pPr>
      <w:r w:rsidRPr="00C760EA">
        <w:rPr>
          <w:color w:val="000000"/>
        </w:rPr>
        <w:t>In case the net profit for the relevant period includes any exceptional and/or extra-ordinary profits/ income or the financial statements are qualified (including ’emphasis of matter’) by the statutory auditor that indicates an overstatement of net profit, the same shall be reduced from net profits while determining the Dividend Payout Ratio.</w:t>
      </w:r>
    </w:p>
    <w:p w:rsidR="001734DD" w:rsidRDefault="001734DD" w:rsidP="001734DD">
      <w:pPr>
        <w:pStyle w:val="NormalWeb"/>
        <w:numPr>
          <w:ilvl w:val="0"/>
          <w:numId w:val="3"/>
        </w:numPr>
        <w:shd w:val="clear" w:color="auto" w:fill="FFFFFF"/>
        <w:spacing w:before="0" w:beforeAutospacing="0" w:after="0" w:afterAutospacing="0"/>
        <w:jc w:val="both"/>
        <w:rPr>
          <w:color w:val="000000"/>
        </w:rPr>
      </w:pPr>
      <w:r w:rsidRPr="00C760EA">
        <w:rPr>
          <w:color w:val="000000"/>
        </w:rPr>
        <w:t>The ceilings on dividend payout ratios for NBFCs eligible to declare dividend are as under:</w:t>
      </w:r>
    </w:p>
    <w:p w:rsidR="001734DD" w:rsidRPr="00C760EA" w:rsidRDefault="001734DD" w:rsidP="001734DD">
      <w:pPr>
        <w:pStyle w:val="NormalWeb"/>
        <w:shd w:val="clear" w:color="auto" w:fill="FFFFFF"/>
        <w:spacing w:before="0" w:beforeAutospacing="0" w:after="0" w:afterAutospacing="0"/>
        <w:ind w:left="720"/>
        <w:jc w:val="both"/>
        <w:rPr>
          <w:color w:val="000000"/>
        </w:rPr>
      </w:pP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
        <w:gridCol w:w="4338"/>
        <w:gridCol w:w="2618"/>
      </w:tblGrid>
      <w:tr w:rsidR="001734DD" w:rsidRPr="00C760EA" w:rsidTr="00B02BBD">
        <w:trPr>
          <w:jc w:val="center"/>
        </w:trPr>
        <w:tc>
          <w:tcPr>
            <w:tcW w:w="0" w:type="auto"/>
            <w:gridSpan w:val="3"/>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Table 2: Ceilings on Dividend Payout Ratio</w:t>
            </w:r>
          </w:p>
        </w:tc>
      </w:tr>
      <w:tr w:rsidR="001734DD" w:rsidRPr="00C760EA" w:rsidTr="00B02BBD">
        <w:trPr>
          <w:jc w:val="center"/>
        </w:trPr>
        <w:tc>
          <w:tcPr>
            <w:tcW w:w="350"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Sl. No.</w:t>
            </w:r>
          </w:p>
        </w:tc>
        <w:tc>
          <w:tcPr>
            <w:tcW w:w="2900"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Type of NBFC</w:t>
            </w:r>
          </w:p>
        </w:tc>
        <w:tc>
          <w:tcPr>
            <w:tcW w:w="1750" w:type="pct"/>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b/>
                <w:bCs/>
                <w:color w:val="000000"/>
                <w:sz w:val="24"/>
                <w:szCs w:val="24"/>
              </w:rPr>
            </w:pPr>
            <w:r w:rsidRPr="00C760EA">
              <w:rPr>
                <w:rFonts w:ascii="Times New Roman" w:hAnsi="Times New Roman" w:cs="Times New Roman"/>
                <w:b/>
                <w:bCs/>
                <w:color w:val="000000"/>
                <w:sz w:val="24"/>
                <w:szCs w:val="24"/>
              </w:rPr>
              <w:t>Maximum Dividend Payout Ratio (percentage)</w:t>
            </w:r>
          </w:p>
        </w:tc>
      </w:tr>
      <w:tr w:rsidR="001734DD" w:rsidRPr="00C760EA" w:rsidTr="00B02BBD">
        <w:trPr>
          <w:jc w:val="center"/>
        </w:trPr>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1.</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NBFCs that do not accept public funds and do not have any customer interface</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No ceiling specified</w:t>
            </w:r>
          </w:p>
        </w:tc>
      </w:tr>
      <w:tr w:rsidR="001734DD" w:rsidRPr="00C760EA" w:rsidTr="00B02BBD">
        <w:trPr>
          <w:jc w:val="center"/>
        </w:trPr>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2.</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Core Investment Company</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60</w:t>
            </w:r>
          </w:p>
        </w:tc>
      </w:tr>
      <w:tr w:rsidR="001734DD" w:rsidRPr="00C760EA" w:rsidTr="00B02BBD">
        <w:trPr>
          <w:jc w:val="center"/>
        </w:trPr>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3.</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Standalone Primary Dealers</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60</w:t>
            </w:r>
          </w:p>
        </w:tc>
      </w:tr>
      <w:tr w:rsidR="001734DD" w:rsidRPr="00C760EA" w:rsidTr="00B02BBD">
        <w:trPr>
          <w:jc w:val="center"/>
        </w:trPr>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4.</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both"/>
              <w:rPr>
                <w:rFonts w:ascii="Times New Roman" w:hAnsi="Times New Roman" w:cs="Times New Roman"/>
                <w:color w:val="000000"/>
                <w:sz w:val="24"/>
                <w:szCs w:val="24"/>
              </w:rPr>
            </w:pPr>
            <w:r w:rsidRPr="00C760EA">
              <w:rPr>
                <w:rFonts w:ascii="Times New Roman" w:hAnsi="Times New Roman" w:cs="Times New Roman"/>
                <w:color w:val="000000"/>
                <w:sz w:val="24"/>
                <w:szCs w:val="24"/>
              </w:rPr>
              <w:t>Other NBFCs</w:t>
            </w:r>
          </w:p>
        </w:tc>
        <w:tc>
          <w:tcPr>
            <w:tcW w:w="0" w:type="auto"/>
            <w:tcMar>
              <w:top w:w="0" w:type="dxa"/>
              <w:left w:w="45" w:type="dxa"/>
              <w:bottom w:w="0" w:type="dxa"/>
              <w:right w:w="45" w:type="dxa"/>
            </w:tcMar>
            <w:vAlign w:val="center"/>
            <w:hideMark/>
          </w:tcPr>
          <w:p w:rsidR="001734DD" w:rsidRPr="00C760EA" w:rsidRDefault="001734DD" w:rsidP="00B02BBD">
            <w:pPr>
              <w:spacing w:after="0" w:line="240" w:lineRule="auto"/>
              <w:jc w:val="center"/>
              <w:rPr>
                <w:rFonts w:ascii="Times New Roman" w:hAnsi="Times New Roman" w:cs="Times New Roman"/>
                <w:color w:val="000000"/>
                <w:sz w:val="24"/>
                <w:szCs w:val="24"/>
              </w:rPr>
            </w:pPr>
            <w:r w:rsidRPr="00C760EA">
              <w:rPr>
                <w:rFonts w:ascii="Times New Roman" w:hAnsi="Times New Roman" w:cs="Times New Roman"/>
                <w:color w:val="000000"/>
                <w:sz w:val="24"/>
                <w:szCs w:val="24"/>
              </w:rPr>
              <w:t>50</w:t>
            </w:r>
          </w:p>
        </w:tc>
      </w:tr>
    </w:tbl>
    <w:p w:rsidR="001734DD" w:rsidRDefault="001734DD" w:rsidP="001734DD">
      <w:pPr>
        <w:pStyle w:val="NormalWeb"/>
        <w:shd w:val="clear" w:color="auto" w:fill="FFFFFF"/>
        <w:spacing w:before="0" w:beforeAutospacing="0" w:after="0" w:afterAutospacing="0"/>
        <w:ind w:left="720"/>
        <w:jc w:val="both"/>
        <w:rPr>
          <w:color w:val="000000"/>
        </w:rPr>
      </w:pPr>
    </w:p>
    <w:p w:rsidR="001734DD" w:rsidRPr="00C760EA" w:rsidRDefault="001734DD" w:rsidP="001734DD">
      <w:pPr>
        <w:pStyle w:val="NormalWeb"/>
        <w:numPr>
          <w:ilvl w:val="0"/>
          <w:numId w:val="3"/>
        </w:numPr>
        <w:shd w:val="clear" w:color="auto" w:fill="FFFFFF"/>
        <w:spacing w:before="0" w:beforeAutospacing="0" w:after="0" w:afterAutospacing="0"/>
        <w:jc w:val="both"/>
        <w:rPr>
          <w:color w:val="000000"/>
        </w:rPr>
      </w:pPr>
      <w:r w:rsidRPr="00C760EA">
        <w:rPr>
          <w:color w:val="000000"/>
        </w:rPr>
        <w:t>The Reserve Bank shall not entertain any request for ad-hoc dispensation on declaration of dividend.</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7. A NBFC (other than SPD) which does not meet the applicable prudential requirement prescribed in Paragraph 5</w:t>
      </w:r>
      <w:hyperlink r:id="rId15" w:anchor="FT3" w:history="1">
        <w:r w:rsidRPr="00C760EA">
          <w:rPr>
            <w:rStyle w:val="Hyperlink"/>
            <w:vertAlign w:val="superscript"/>
          </w:rPr>
          <w:t>3</w:t>
        </w:r>
      </w:hyperlink>
      <w:r w:rsidRPr="00C760EA">
        <w:rPr>
          <w:color w:val="000000"/>
        </w:rPr>
        <w:t> above for each of the last three financial years, may be eligible to declare dividend, subject to a cap of 10 percent on the dividend payout ratio, provided the NBFC complies with the following conditions :</w:t>
      </w:r>
    </w:p>
    <w:p w:rsidR="001734DD" w:rsidRPr="00C760EA" w:rsidRDefault="001734DD" w:rsidP="001734DD">
      <w:pPr>
        <w:pStyle w:val="NormalWeb"/>
        <w:numPr>
          <w:ilvl w:val="0"/>
          <w:numId w:val="4"/>
        </w:numPr>
        <w:shd w:val="clear" w:color="auto" w:fill="FFFFFF"/>
        <w:spacing w:before="0" w:beforeAutospacing="0" w:after="0" w:afterAutospacing="0"/>
        <w:jc w:val="both"/>
        <w:rPr>
          <w:color w:val="000000"/>
        </w:rPr>
      </w:pPr>
      <w:r w:rsidRPr="00C760EA">
        <w:rPr>
          <w:color w:val="000000"/>
        </w:rPr>
        <w:t>meets the applicable capital adequacy requirement in the financial year for which it proposes to pay dividend; and</w:t>
      </w:r>
    </w:p>
    <w:p w:rsidR="001734DD" w:rsidRPr="00C760EA" w:rsidRDefault="001734DD" w:rsidP="001734DD">
      <w:pPr>
        <w:pStyle w:val="NormalWeb"/>
        <w:numPr>
          <w:ilvl w:val="0"/>
          <w:numId w:val="4"/>
        </w:numPr>
        <w:shd w:val="clear" w:color="auto" w:fill="FFFFFF"/>
        <w:spacing w:before="0" w:beforeAutospacing="0" w:after="0" w:afterAutospacing="0"/>
        <w:jc w:val="both"/>
        <w:rPr>
          <w:color w:val="000000"/>
        </w:rPr>
      </w:pPr>
      <w:r w:rsidRPr="00C760EA">
        <w:rPr>
          <w:color w:val="000000"/>
        </w:rPr>
        <w:t>has net NPA of less than 4 per cent as at the close of the financial year.</w:t>
      </w:r>
    </w:p>
    <w:p w:rsidR="001734DD" w:rsidRDefault="001734DD" w:rsidP="001734DD">
      <w:pPr>
        <w:pStyle w:val="NormalWeb"/>
        <w:shd w:val="clear" w:color="auto" w:fill="FFFFFF"/>
        <w:spacing w:before="0" w:beforeAutospacing="0" w:after="0" w:afterAutospacing="0"/>
        <w:jc w:val="both"/>
        <w:rPr>
          <w:color w:val="000000"/>
        </w:rPr>
      </w:pP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8. As per extant regulations contained in paragraph 30 of </w:t>
      </w:r>
      <w:hyperlink r:id="rId16" w:tgtFrame="_blank" w:history="1">
        <w:r w:rsidRPr="00C760EA">
          <w:rPr>
            <w:rStyle w:val="Hyperlink"/>
          </w:rPr>
          <w:t>Master Direction - Standalone Primary Dealers (Reserve Bank) Directions, 2016</w:t>
        </w:r>
      </w:hyperlink>
      <w:r w:rsidRPr="00C760EA">
        <w:rPr>
          <w:color w:val="000000"/>
        </w:rPr>
        <w:t>, in case of SPDs which have a CRAR at or above the regulatory minimum of 15 per cent during each of the quarters of the previous year, but lower than 20 per cent in any of those quarters, the dividend payout ratio shall not exceed 33.3 per cent.</w:t>
      </w:r>
    </w:p>
    <w:p w:rsidR="001734DD" w:rsidRDefault="001734DD" w:rsidP="001734DD">
      <w:pPr>
        <w:pStyle w:val="head"/>
        <w:shd w:val="clear" w:color="auto" w:fill="FFFFFF"/>
        <w:spacing w:before="0" w:beforeAutospacing="0" w:after="0" w:afterAutospacing="0"/>
        <w:jc w:val="both"/>
        <w:rPr>
          <w:b/>
          <w:bCs/>
          <w:color w:val="000000"/>
        </w:rPr>
      </w:pPr>
    </w:p>
    <w:p w:rsidR="001734DD" w:rsidRPr="00C760EA" w:rsidRDefault="001734DD" w:rsidP="001734DD">
      <w:pPr>
        <w:pStyle w:val="head"/>
        <w:shd w:val="clear" w:color="auto" w:fill="FFFFFF"/>
        <w:spacing w:before="0" w:beforeAutospacing="0" w:after="0" w:afterAutospacing="0"/>
        <w:jc w:val="both"/>
        <w:rPr>
          <w:b/>
          <w:bCs/>
          <w:color w:val="000000"/>
        </w:rPr>
      </w:pPr>
      <w:r w:rsidRPr="00C760EA">
        <w:rPr>
          <w:b/>
          <w:bCs/>
          <w:color w:val="000000"/>
        </w:rPr>
        <w:t>Reporting System</w:t>
      </w:r>
    </w:p>
    <w:p w:rsidR="001734DD" w:rsidRPr="00C760EA" w:rsidRDefault="001734DD" w:rsidP="001734DD">
      <w:pPr>
        <w:pStyle w:val="NormalWeb"/>
        <w:shd w:val="clear" w:color="auto" w:fill="FFFFFF"/>
        <w:spacing w:before="0" w:beforeAutospacing="0" w:after="0" w:afterAutospacing="0"/>
        <w:jc w:val="both"/>
        <w:rPr>
          <w:color w:val="000000"/>
        </w:rPr>
      </w:pPr>
      <w:r w:rsidRPr="00C760EA">
        <w:rPr>
          <w:color w:val="000000"/>
        </w:rPr>
        <w:t>9. NBFC-D, NBFC-ND-SI, HFC &amp; CIC declaring dividend shall report details of dividend declared during the financial year as per the format prescribed in </w:t>
      </w:r>
      <w:hyperlink r:id="rId17" w:tgtFrame="_blank" w:history="1">
        <w:r w:rsidRPr="00C760EA">
          <w:rPr>
            <w:rStyle w:val="Hyperlink"/>
          </w:rPr>
          <w:t>Annex 2</w:t>
        </w:r>
      </w:hyperlink>
      <w:r w:rsidRPr="00C760EA">
        <w:rPr>
          <w:color w:val="000000"/>
        </w:rPr>
        <w:t>. The report shall be furnished within a fortnight after declaration of dividend to the Regional Office of the Department of Supervision of the Reserve Bank/ Department of Supervision of NHB, under whose jurisdiction it is registered.</w:t>
      </w:r>
    </w:p>
    <w:p w:rsidR="001734DD"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1734DD" w:rsidRDefault="001734DD" w:rsidP="001734DD">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10. The relevant Master Directions shall be suitably updated.</w:t>
      </w:r>
    </w:p>
    <w:p w:rsidR="001734DD" w:rsidRPr="00C760EA" w:rsidRDefault="001734DD" w:rsidP="001734DD">
      <w:pPr>
        <w:pStyle w:val="NormalWeb"/>
        <w:pBdr>
          <w:bottom w:val="single" w:sz="12" w:space="1" w:color="auto"/>
        </w:pBdr>
        <w:shd w:val="clear" w:color="auto" w:fill="FFFFFF"/>
        <w:spacing w:before="0" w:beforeAutospacing="0" w:after="0" w:afterAutospacing="0"/>
        <w:jc w:val="both"/>
        <w:rPr>
          <w:color w:val="000000"/>
        </w:rPr>
      </w:pPr>
    </w:p>
    <w:p w:rsidR="00521D2C" w:rsidRPr="00C760EA" w:rsidRDefault="00372F67" w:rsidP="00521D2C">
      <w:pPr>
        <w:pStyle w:val="NormalWeb"/>
        <w:shd w:val="clear" w:color="auto" w:fill="FFFFFF"/>
        <w:spacing w:before="0" w:beforeAutospacing="0" w:after="0" w:afterAutospacing="0"/>
        <w:jc w:val="both"/>
        <w:rPr>
          <w:b/>
          <w:bCs/>
          <w:color w:val="000000"/>
        </w:rPr>
      </w:pPr>
      <w:r>
        <w:rPr>
          <w:b/>
          <w:bCs/>
          <w:color w:val="000000"/>
        </w:rPr>
        <w:t xml:space="preserve">4. </w:t>
      </w:r>
      <w:r w:rsidR="00521D2C" w:rsidRPr="00C760EA">
        <w:rPr>
          <w:b/>
          <w:bCs/>
          <w:color w:val="000000"/>
        </w:rPr>
        <w:t>Gold (Metal) Loans – Repayment</w:t>
      </w:r>
    </w:p>
    <w:p w:rsidR="00521D2C" w:rsidRDefault="00521D2C" w:rsidP="00521D2C">
      <w:pPr>
        <w:pStyle w:val="NormalWeb"/>
        <w:shd w:val="clear" w:color="auto" w:fill="FFFFFF"/>
        <w:spacing w:before="0" w:beforeAutospacing="0" w:after="0" w:afterAutospacing="0"/>
        <w:jc w:val="both"/>
        <w:rPr>
          <w:color w:val="000000"/>
        </w:rPr>
      </w:pPr>
    </w:p>
    <w:p w:rsidR="00521D2C" w:rsidRDefault="00521D2C" w:rsidP="00521D2C">
      <w:pPr>
        <w:pStyle w:val="NormalWeb"/>
        <w:shd w:val="clear" w:color="auto" w:fill="FFFFFF"/>
        <w:spacing w:before="0" w:beforeAutospacing="0" w:after="0" w:afterAutospacing="0"/>
        <w:jc w:val="both"/>
        <w:rPr>
          <w:b/>
          <w:color w:val="000000"/>
        </w:rPr>
      </w:pPr>
      <w:r w:rsidRPr="00762028">
        <w:rPr>
          <w:b/>
          <w:color w:val="000000"/>
        </w:rPr>
        <w:t xml:space="preserve">RBI/2021-22/58DOR.CRE(DIR).REC.24/23.67.001/2021-22 </w:t>
      </w:r>
      <w:r w:rsidRPr="00762028">
        <w:rPr>
          <w:b/>
          <w:color w:val="000000"/>
        </w:rPr>
        <w:tab/>
      </w:r>
      <w:r w:rsidRPr="00762028">
        <w:rPr>
          <w:b/>
          <w:color w:val="000000"/>
        </w:rPr>
        <w:tab/>
        <w:t>June 23, 2021</w:t>
      </w:r>
    </w:p>
    <w:p w:rsidR="00521D2C" w:rsidRPr="00762028" w:rsidRDefault="00521D2C" w:rsidP="00521D2C">
      <w:pPr>
        <w:pStyle w:val="NormalWeb"/>
        <w:shd w:val="clear" w:color="auto" w:fill="FFFFFF"/>
        <w:spacing w:before="0" w:beforeAutospacing="0" w:after="0" w:afterAutospacing="0"/>
        <w:jc w:val="both"/>
        <w:rPr>
          <w:b/>
          <w:color w:val="000000"/>
        </w:rPr>
      </w:pPr>
    </w:p>
    <w:p w:rsidR="00521D2C" w:rsidRPr="00762028" w:rsidRDefault="00521D2C" w:rsidP="00521D2C">
      <w:pPr>
        <w:pStyle w:val="NormalWeb"/>
        <w:shd w:val="clear" w:color="auto" w:fill="FFFFFF"/>
        <w:spacing w:before="0" w:beforeAutospacing="0" w:after="0" w:afterAutospacing="0"/>
        <w:jc w:val="both"/>
        <w:rPr>
          <w:i/>
          <w:color w:val="000000"/>
        </w:rPr>
      </w:pPr>
      <w:r w:rsidRPr="00762028">
        <w:rPr>
          <w:i/>
          <w:color w:val="000000"/>
        </w:rPr>
        <w:t>All Scheduled Commercial Banks, (excluding Regional Rural Banks)</w:t>
      </w:r>
    </w:p>
    <w:p w:rsidR="00521D2C" w:rsidRDefault="00521D2C" w:rsidP="00521D2C">
      <w:pPr>
        <w:pStyle w:val="NormalWeb"/>
        <w:shd w:val="clear" w:color="auto" w:fill="FFFFFF"/>
        <w:spacing w:before="0" w:beforeAutospacing="0" w:after="0" w:afterAutospacing="0"/>
        <w:jc w:val="both"/>
        <w:rPr>
          <w:color w:val="000000"/>
        </w:rPr>
      </w:pPr>
    </w:p>
    <w:p w:rsidR="00521D2C" w:rsidRPr="00C760EA" w:rsidRDefault="00521D2C" w:rsidP="00521D2C">
      <w:pPr>
        <w:pStyle w:val="NormalWeb"/>
        <w:shd w:val="clear" w:color="auto" w:fill="FFFFFF"/>
        <w:spacing w:before="0" w:beforeAutospacing="0" w:after="0" w:afterAutospacing="0"/>
        <w:jc w:val="both"/>
        <w:rPr>
          <w:color w:val="000000"/>
        </w:rPr>
      </w:pPr>
      <w:r w:rsidRPr="00C760EA">
        <w:rPr>
          <w:color w:val="000000"/>
        </w:rPr>
        <w:t>Please refer to instructions issued vide </w:t>
      </w:r>
      <w:hyperlink r:id="rId18" w:tgtFrame="_blank" w:history="1">
        <w:r w:rsidRPr="00C760EA">
          <w:rPr>
            <w:rStyle w:val="Hyperlink"/>
          </w:rPr>
          <w:t>circulars DBOD.No.IBS.1519/23.67.001/98-99 dated December 31, 1998</w:t>
        </w:r>
      </w:hyperlink>
      <w:r w:rsidRPr="00C760EA">
        <w:rPr>
          <w:color w:val="000000"/>
        </w:rPr>
        <w:t>, </w:t>
      </w:r>
      <w:hyperlink r:id="rId19" w:tgtFrame="_blank" w:history="1">
        <w:r w:rsidRPr="00C760EA">
          <w:rPr>
            <w:rStyle w:val="Hyperlink"/>
          </w:rPr>
          <w:t>DBOD.No.IBS.3161/23.67.001/98-99 dated June 25, 1999</w:t>
        </w:r>
      </w:hyperlink>
      <w:r w:rsidRPr="00C760EA">
        <w:rPr>
          <w:color w:val="000000"/>
        </w:rPr>
        <w:t>, </w:t>
      </w:r>
      <w:hyperlink r:id="rId20" w:tgtFrame="_blank" w:history="1">
        <w:r w:rsidRPr="00C760EA">
          <w:rPr>
            <w:rStyle w:val="Hyperlink"/>
          </w:rPr>
          <w:t>DBOD.No.IBD.BC.33/23.67.001/2005-06 dated September 5, 2005</w:t>
        </w:r>
      </w:hyperlink>
      <w:r w:rsidRPr="00C760EA">
        <w:rPr>
          <w:color w:val="000000"/>
        </w:rPr>
        <w:t>, </w:t>
      </w:r>
      <w:hyperlink r:id="rId21" w:tgtFrame="_blank" w:history="1">
        <w:r w:rsidRPr="00C760EA">
          <w:rPr>
            <w:rStyle w:val="Hyperlink"/>
          </w:rPr>
          <w:t>DBOD.No.IBD.BC.71/23.67.001/2006-07 dated April 3, 2007</w:t>
        </w:r>
      </w:hyperlink>
      <w:r w:rsidRPr="00C760EA">
        <w:rPr>
          <w:color w:val="000000"/>
        </w:rPr>
        <w:t> and </w:t>
      </w:r>
      <w:hyperlink r:id="rId22" w:tgtFrame="_blank" w:history="1">
        <w:r w:rsidRPr="00C760EA">
          <w:rPr>
            <w:rStyle w:val="Hyperlink"/>
          </w:rPr>
          <w:t>DBOD.No.IBD.BC.104/23.67.001/2013-14 April 2, 2014</w:t>
        </w:r>
      </w:hyperlink>
      <w:r w:rsidRPr="00C760EA">
        <w:rPr>
          <w:color w:val="000000"/>
        </w:rPr>
        <w:t> on the captioned subject.</w:t>
      </w:r>
    </w:p>
    <w:p w:rsidR="00521D2C" w:rsidRDefault="00521D2C" w:rsidP="00521D2C">
      <w:pPr>
        <w:pStyle w:val="NormalWeb"/>
        <w:shd w:val="clear" w:color="auto" w:fill="FFFFFF"/>
        <w:spacing w:before="0" w:beforeAutospacing="0" w:after="0" w:afterAutospacing="0"/>
        <w:jc w:val="both"/>
        <w:rPr>
          <w:color w:val="000000"/>
        </w:rPr>
      </w:pPr>
    </w:p>
    <w:p w:rsidR="00521D2C" w:rsidRPr="00C760EA" w:rsidRDefault="00521D2C" w:rsidP="00521D2C">
      <w:pPr>
        <w:pStyle w:val="NormalWeb"/>
        <w:shd w:val="clear" w:color="auto" w:fill="FFFFFF"/>
        <w:spacing w:before="0" w:beforeAutospacing="0" w:after="0" w:afterAutospacing="0"/>
        <w:jc w:val="both"/>
        <w:rPr>
          <w:color w:val="000000"/>
        </w:rPr>
      </w:pPr>
      <w:r w:rsidRPr="00C760EA">
        <w:rPr>
          <w:color w:val="000000"/>
        </w:rPr>
        <w:t>2. As per the extant instructions, nominated banks authorized to import gold and designated banks participating in </w:t>
      </w:r>
      <w:hyperlink r:id="rId23" w:tgtFrame="_blank" w:history="1">
        <w:r w:rsidRPr="00C760EA">
          <w:rPr>
            <w:rStyle w:val="Hyperlink"/>
          </w:rPr>
          <w:t>Gold Monetization Scheme, 2015 (GMS)</w:t>
        </w:r>
      </w:hyperlink>
      <w:r w:rsidRPr="00C760EA">
        <w:rPr>
          <w:color w:val="000000"/>
        </w:rPr>
        <w:t> can extend Gold (Metal) Loans (GML) to jewellery exporters or domestic manufacturers of gold jewellery. These loans are repaid in INR, equivalent to the value of gold borrowed, on the relevant date/s.</w:t>
      </w:r>
    </w:p>
    <w:p w:rsidR="00521D2C" w:rsidRDefault="00521D2C" w:rsidP="00521D2C">
      <w:pPr>
        <w:pStyle w:val="NormalWeb"/>
        <w:shd w:val="clear" w:color="auto" w:fill="FFFFFF"/>
        <w:spacing w:before="0" w:beforeAutospacing="0" w:after="0" w:afterAutospacing="0"/>
        <w:jc w:val="both"/>
        <w:rPr>
          <w:color w:val="000000"/>
        </w:rPr>
      </w:pPr>
    </w:p>
    <w:p w:rsidR="00521D2C" w:rsidRPr="00C760EA" w:rsidRDefault="00521D2C" w:rsidP="00521D2C">
      <w:pPr>
        <w:pStyle w:val="NormalWeb"/>
        <w:shd w:val="clear" w:color="auto" w:fill="FFFFFF"/>
        <w:spacing w:before="0" w:beforeAutospacing="0" w:after="0" w:afterAutospacing="0"/>
        <w:jc w:val="both"/>
        <w:rPr>
          <w:color w:val="000000"/>
        </w:rPr>
      </w:pPr>
      <w:r w:rsidRPr="00C760EA">
        <w:rPr>
          <w:color w:val="000000"/>
        </w:rPr>
        <w:t>3. On a review, it has been decided as under:</w:t>
      </w:r>
    </w:p>
    <w:p w:rsidR="00521D2C" w:rsidRPr="00C760EA" w:rsidRDefault="00521D2C" w:rsidP="00521D2C">
      <w:pPr>
        <w:pStyle w:val="NormalWeb"/>
        <w:shd w:val="clear" w:color="auto" w:fill="FFFFFF"/>
        <w:spacing w:before="0" w:beforeAutospacing="0" w:after="0" w:afterAutospacing="0"/>
        <w:jc w:val="both"/>
        <w:rPr>
          <w:color w:val="000000"/>
        </w:rPr>
      </w:pPr>
      <w:r w:rsidRPr="00C760EA">
        <w:rPr>
          <w:color w:val="000000"/>
        </w:rPr>
        <w:t>i) Banks shall provide an option to the borrower to repay a part of the GML in physical gold in lots of one kg or more, provided:</w:t>
      </w:r>
    </w:p>
    <w:p w:rsidR="00521D2C" w:rsidRPr="00C760EA" w:rsidRDefault="00521D2C" w:rsidP="00521D2C">
      <w:pPr>
        <w:pStyle w:val="NormalWeb"/>
        <w:numPr>
          <w:ilvl w:val="0"/>
          <w:numId w:val="5"/>
        </w:numPr>
        <w:shd w:val="clear" w:color="auto" w:fill="FFFFFF"/>
        <w:spacing w:before="0" w:beforeAutospacing="0" w:after="0" w:afterAutospacing="0"/>
        <w:jc w:val="both"/>
        <w:rPr>
          <w:color w:val="000000"/>
        </w:rPr>
      </w:pPr>
      <w:r w:rsidRPr="00C760EA">
        <w:rPr>
          <w:color w:val="000000"/>
        </w:rPr>
        <w:lastRenderedPageBreak/>
        <w:t>the GML has been extended out of locally sourced / GMS-linked gold;</w:t>
      </w:r>
    </w:p>
    <w:p w:rsidR="00521D2C" w:rsidRPr="00C760EA" w:rsidRDefault="00521D2C" w:rsidP="00521D2C">
      <w:pPr>
        <w:pStyle w:val="NormalWeb"/>
        <w:numPr>
          <w:ilvl w:val="0"/>
          <w:numId w:val="5"/>
        </w:numPr>
        <w:shd w:val="clear" w:color="auto" w:fill="FFFFFF"/>
        <w:spacing w:before="0" w:beforeAutospacing="0" w:after="0" w:afterAutospacing="0"/>
        <w:jc w:val="both"/>
        <w:rPr>
          <w:color w:val="000000"/>
        </w:rPr>
      </w:pPr>
      <w:r w:rsidRPr="00C760EA">
        <w:rPr>
          <w:color w:val="000000"/>
        </w:rPr>
        <w:t>repayment is made using locally sourced IGDS (India Good Delivery Standard)/ LGDS (LBMA’s Good Delivery Standards) gold;</w:t>
      </w:r>
    </w:p>
    <w:p w:rsidR="00521D2C" w:rsidRPr="00C760EA" w:rsidRDefault="00521D2C" w:rsidP="00521D2C">
      <w:pPr>
        <w:pStyle w:val="NormalWeb"/>
        <w:numPr>
          <w:ilvl w:val="0"/>
          <w:numId w:val="5"/>
        </w:numPr>
        <w:shd w:val="clear" w:color="auto" w:fill="FFFFFF"/>
        <w:spacing w:before="0" w:beforeAutospacing="0" w:after="0" w:afterAutospacing="0"/>
        <w:jc w:val="both"/>
        <w:rPr>
          <w:color w:val="000000"/>
        </w:rPr>
      </w:pPr>
      <w:r w:rsidRPr="00C760EA">
        <w:rPr>
          <w:color w:val="000000"/>
        </w:rPr>
        <w:t>gold is delivered on behalf of the borrower to the bank directly by the refiner or a central agency, acceptable to the bank, without the borrower’s involvement;</w:t>
      </w:r>
    </w:p>
    <w:p w:rsidR="00521D2C" w:rsidRPr="00C760EA" w:rsidRDefault="00521D2C" w:rsidP="00521D2C">
      <w:pPr>
        <w:pStyle w:val="NormalWeb"/>
        <w:numPr>
          <w:ilvl w:val="0"/>
          <w:numId w:val="5"/>
        </w:numPr>
        <w:shd w:val="clear" w:color="auto" w:fill="FFFFFF"/>
        <w:spacing w:before="0" w:beforeAutospacing="0" w:after="0" w:afterAutospacing="0"/>
        <w:jc w:val="both"/>
        <w:rPr>
          <w:color w:val="000000"/>
        </w:rPr>
      </w:pPr>
      <w:r w:rsidRPr="00C760EA">
        <w:rPr>
          <w:color w:val="000000"/>
        </w:rPr>
        <w:t>the loan agreement contains details of the option to be exercised by the borrower, acceptable standards and manner of delivery of gold for repayment;</w:t>
      </w:r>
    </w:p>
    <w:p w:rsidR="00521D2C" w:rsidRPr="00C760EA" w:rsidRDefault="00521D2C" w:rsidP="00521D2C">
      <w:pPr>
        <w:pStyle w:val="NormalWeb"/>
        <w:numPr>
          <w:ilvl w:val="0"/>
          <w:numId w:val="5"/>
        </w:numPr>
        <w:shd w:val="clear" w:color="auto" w:fill="FFFFFF"/>
        <w:spacing w:before="0" w:beforeAutospacing="0" w:after="0" w:afterAutospacing="0"/>
        <w:jc w:val="both"/>
        <w:rPr>
          <w:color w:val="000000"/>
        </w:rPr>
      </w:pPr>
      <w:r w:rsidRPr="00C760EA">
        <w:rPr>
          <w:color w:val="000000"/>
        </w:rPr>
        <w:t>the borrower is apprised upfront, in a transparent manner, of the implications of exercising the option.</w:t>
      </w:r>
    </w:p>
    <w:p w:rsidR="00521D2C" w:rsidRPr="00C760EA" w:rsidRDefault="00521D2C" w:rsidP="00521D2C">
      <w:pPr>
        <w:pStyle w:val="NormalWeb"/>
        <w:shd w:val="clear" w:color="auto" w:fill="FFFFFF"/>
        <w:spacing w:before="0" w:beforeAutospacing="0" w:after="0" w:afterAutospacing="0"/>
        <w:jc w:val="both"/>
        <w:rPr>
          <w:color w:val="000000"/>
        </w:rPr>
      </w:pPr>
      <w:r w:rsidRPr="00C760EA">
        <w:rPr>
          <w:color w:val="000000"/>
        </w:rPr>
        <w:t>ii) Banks shall suitably incorporate the above aspects into the board-approved policy governing GML along with concomitant risk management measures. Banks shall continue to monitor the end-use of funds lent under GML.</w:t>
      </w:r>
    </w:p>
    <w:p w:rsidR="00521D2C" w:rsidRDefault="00521D2C" w:rsidP="00521D2C">
      <w:pPr>
        <w:pStyle w:val="NormalWeb"/>
        <w:pBdr>
          <w:bottom w:val="single" w:sz="12" w:space="1" w:color="auto"/>
        </w:pBdr>
        <w:shd w:val="clear" w:color="auto" w:fill="FFFFFF"/>
        <w:spacing w:before="0" w:beforeAutospacing="0" w:after="0" w:afterAutospacing="0"/>
        <w:jc w:val="both"/>
        <w:rPr>
          <w:color w:val="000000"/>
        </w:rPr>
      </w:pPr>
    </w:p>
    <w:p w:rsidR="00521D2C" w:rsidRDefault="00521D2C" w:rsidP="00521D2C">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instructions issued on GML shall remain unchanged.</w:t>
      </w:r>
    </w:p>
    <w:p w:rsidR="00521D2C" w:rsidRPr="00C760EA" w:rsidRDefault="00521D2C" w:rsidP="00521D2C">
      <w:pPr>
        <w:pStyle w:val="NormalWeb"/>
        <w:pBdr>
          <w:bottom w:val="single" w:sz="12" w:space="1" w:color="auto"/>
        </w:pBdr>
        <w:shd w:val="clear" w:color="auto" w:fill="FFFFFF"/>
        <w:spacing w:before="0" w:beforeAutospacing="0" w:after="0" w:afterAutospacing="0"/>
        <w:jc w:val="both"/>
        <w:rPr>
          <w:color w:val="000000"/>
        </w:rPr>
      </w:pPr>
    </w:p>
    <w:p w:rsidR="001734DD" w:rsidRDefault="00372F67" w:rsidP="00521D2C">
      <w:pPr>
        <w:pStyle w:val="head"/>
        <w:shd w:val="clear" w:color="auto" w:fill="FFFFFF"/>
        <w:spacing w:before="0" w:beforeAutospacing="0" w:after="0" w:afterAutospacing="0"/>
        <w:jc w:val="both"/>
        <w:rPr>
          <w:b/>
          <w:bCs/>
          <w:color w:val="000000"/>
        </w:rPr>
      </w:pPr>
      <w:r>
        <w:rPr>
          <w:b/>
          <w:bCs/>
          <w:color w:val="000000"/>
        </w:rPr>
        <w:t>5.</w:t>
      </w:r>
      <w:r w:rsidR="00521D2C" w:rsidRPr="00521D2C">
        <w:rPr>
          <w:b/>
          <w:bCs/>
          <w:color w:val="000000"/>
        </w:rPr>
        <w:t>Bharat Bill Payment System – Addition of Biller Category</w:t>
      </w:r>
    </w:p>
    <w:p w:rsidR="00521D2C" w:rsidRDefault="00521D2C" w:rsidP="00521D2C">
      <w:pPr>
        <w:pStyle w:val="head"/>
        <w:shd w:val="clear" w:color="auto" w:fill="FFFFFF"/>
        <w:spacing w:before="0" w:beforeAutospacing="0" w:after="0" w:afterAutospacing="0"/>
        <w:jc w:val="both"/>
        <w:rPr>
          <w:b/>
          <w:bCs/>
          <w:color w:val="000000"/>
        </w:rPr>
      </w:pP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t>RBI/2021-22/54</w:t>
      </w:r>
      <w:r>
        <w:rPr>
          <w:rFonts w:ascii="Arial" w:hAnsi="Arial" w:cs="Arial"/>
          <w:color w:val="000000"/>
          <w:sz w:val="20"/>
          <w:szCs w:val="20"/>
        </w:rPr>
        <w:br/>
        <w:t>CO.DPSS.POLC.No.S188/02-27-020/2021-2022</w:t>
      </w:r>
    </w:p>
    <w:p w:rsidR="00521D2C" w:rsidRDefault="00521D2C" w:rsidP="00521D2C">
      <w:pPr>
        <w:pStyle w:val="NormalWeb"/>
        <w:shd w:val="clear" w:color="auto" w:fill="FFFFFF"/>
        <w:jc w:val="right"/>
        <w:rPr>
          <w:rFonts w:ascii="Arial" w:hAnsi="Arial" w:cs="Arial"/>
          <w:color w:val="000000"/>
          <w:sz w:val="20"/>
          <w:szCs w:val="20"/>
        </w:rPr>
      </w:pPr>
      <w:r>
        <w:rPr>
          <w:rFonts w:ascii="Arial" w:hAnsi="Arial" w:cs="Arial"/>
          <w:color w:val="000000"/>
          <w:sz w:val="20"/>
          <w:szCs w:val="20"/>
        </w:rPr>
        <w:t>June 14, 2021</w:t>
      </w:r>
    </w:p>
    <w:p w:rsidR="00521D2C" w:rsidRDefault="00521D2C" w:rsidP="00702059">
      <w:pPr>
        <w:pStyle w:val="NormalWeb"/>
        <w:shd w:val="clear" w:color="auto" w:fill="FFFFFF"/>
        <w:rPr>
          <w:rFonts w:ascii="Arial" w:hAnsi="Arial" w:cs="Arial"/>
          <w:color w:val="000000"/>
          <w:sz w:val="20"/>
          <w:szCs w:val="20"/>
        </w:rPr>
      </w:pPr>
      <w:r>
        <w:rPr>
          <w:rFonts w:ascii="Arial" w:hAnsi="Arial" w:cs="Arial"/>
          <w:color w:val="000000"/>
          <w:sz w:val="20"/>
          <w:szCs w:val="20"/>
        </w:rPr>
        <w:t>The Chairman and Managing Director / Chief Executive Officer</w:t>
      </w:r>
      <w:r>
        <w:rPr>
          <w:rFonts w:ascii="Arial" w:hAnsi="Arial" w:cs="Arial"/>
          <w:color w:val="000000"/>
          <w:sz w:val="20"/>
          <w:szCs w:val="20"/>
        </w:rPr>
        <w:br/>
        <w:t>Scheduled Commercial Banks including RRBs /</w:t>
      </w:r>
      <w:r>
        <w:rPr>
          <w:rFonts w:ascii="Arial" w:hAnsi="Arial" w:cs="Arial"/>
          <w:color w:val="000000"/>
          <w:sz w:val="20"/>
          <w:szCs w:val="20"/>
        </w:rPr>
        <w:br/>
        <w:t>Urban Co-operative Banks / State Co-operative Banks /</w:t>
      </w:r>
      <w:r>
        <w:rPr>
          <w:rFonts w:ascii="Arial" w:hAnsi="Arial" w:cs="Arial"/>
          <w:color w:val="000000"/>
          <w:sz w:val="20"/>
          <w:szCs w:val="20"/>
        </w:rPr>
        <w:br/>
        <w:t>District Central Co-operative Banks / Payment Banks / Small Finance Banks /</w:t>
      </w:r>
      <w:r>
        <w:rPr>
          <w:rFonts w:ascii="Arial" w:hAnsi="Arial" w:cs="Arial"/>
          <w:color w:val="000000"/>
          <w:sz w:val="20"/>
          <w:szCs w:val="20"/>
        </w:rPr>
        <w:br/>
        <w:t>NPCI Bharat BillPay Ltd. / Bharat Bill Payment System Providers /</w:t>
      </w:r>
      <w:r>
        <w:rPr>
          <w:rFonts w:ascii="Arial" w:hAnsi="Arial" w:cs="Arial"/>
          <w:color w:val="000000"/>
          <w:sz w:val="20"/>
          <w:szCs w:val="20"/>
        </w:rPr>
        <w:br/>
        <w:t>System Participants and prospective Bharat Bill Payment Operating Units</w:t>
      </w: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t>Madam / Dear Sir,</w:t>
      </w:r>
    </w:p>
    <w:p w:rsidR="00521D2C" w:rsidRDefault="00521D2C" w:rsidP="00521D2C">
      <w:pPr>
        <w:pStyle w:val="head"/>
        <w:shd w:val="clear" w:color="auto" w:fill="FFFFFF"/>
        <w:jc w:val="both"/>
        <w:rPr>
          <w:rFonts w:ascii="Arial" w:hAnsi="Arial" w:cs="Arial"/>
          <w:b/>
          <w:bCs/>
          <w:color w:val="000000"/>
          <w:sz w:val="20"/>
          <w:szCs w:val="20"/>
        </w:rPr>
      </w:pPr>
      <w:r>
        <w:rPr>
          <w:rFonts w:ascii="Arial" w:hAnsi="Arial" w:cs="Arial"/>
          <w:b/>
          <w:bCs/>
          <w:color w:val="000000"/>
          <w:sz w:val="20"/>
          <w:szCs w:val="20"/>
          <w:u w:val="single"/>
        </w:rPr>
        <w:t>Bharat Bill Payment System – Addition of Biller Category</w:t>
      </w: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t>This has reference to the guidelines on Bharat Bill Payment System (BBPS) issued by the Reserve Bank of India vide </w:t>
      </w:r>
      <w:hyperlink r:id="rId24" w:tgtFrame="_blank" w:history="1">
        <w:r>
          <w:rPr>
            <w:rStyle w:val="Hyperlink"/>
            <w:rFonts w:ascii="Arial" w:hAnsi="Arial" w:cs="Arial"/>
            <w:sz w:val="20"/>
            <w:szCs w:val="20"/>
          </w:rPr>
          <w:t>circular DPSS.CO.PD.No.940/02.27.020/2014-2015 on November 28, 2014</w:t>
        </w:r>
      </w:hyperlink>
      <w:r>
        <w:rPr>
          <w:rFonts w:ascii="Arial" w:hAnsi="Arial" w:cs="Arial"/>
          <w:color w:val="000000"/>
          <w:sz w:val="20"/>
          <w:szCs w:val="20"/>
        </w:rPr>
        <w:t>. BBPS, started as an interoperable platform for repetitive bill payments, which covered bills of five categories viz. Direct to Home (DTH), Electricity, Gas, Telecom and Water. The system provided standardised bill payment experience, centralised customer grievance redressal mechanism, prescribed customer convenience fee and ensured availability of a bouquet of anytime, anywhere digital payment options. The scope and coverage of BBPS was expanded vide </w:t>
      </w:r>
      <w:hyperlink r:id="rId25" w:tgtFrame="_blank" w:history="1">
        <w:r>
          <w:rPr>
            <w:rStyle w:val="Hyperlink"/>
            <w:rFonts w:ascii="Arial" w:hAnsi="Arial" w:cs="Arial"/>
            <w:sz w:val="20"/>
            <w:szCs w:val="20"/>
          </w:rPr>
          <w:t>circular DPSS.CO.PD.No.605/02.27.020/2019-20 dated September 16, 2019</w:t>
        </w:r>
      </w:hyperlink>
      <w:r>
        <w:rPr>
          <w:rFonts w:ascii="Arial" w:hAnsi="Arial" w:cs="Arial"/>
          <w:color w:val="000000"/>
          <w:sz w:val="20"/>
          <w:szCs w:val="20"/>
        </w:rPr>
        <w:t> to include all categories of billers which raise recurring bills (except mobile prepaid recharges) as eligible participants, on a voluntary basis.</w:t>
      </w: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t>2. With consistent growth in different biller categories and to facilitate mobile prepaid customers with more options to recharge, it has been decided to permit ‘mobile prepaid recharges’ as a biller category in BBPS, on a voluntary basis. This will be implemented on or before August 31, 2021.</w:t>
      </w: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t>3. This directive is issued under Section 10 (2) read with Section 18 of the Payment and Settlement Systems Act, 2007 (Act 51 of 2007).</w:t>
      </w:r>
    </w:p>
    <w:p w:rsidR="00521D2C" w:rsidRDefault="00521D2C" w:rsidP="00521D2C">
      <w:pPr>
        <w:pStyle w:val="NormalWeb"/>
        <w:shd w:val="clear" w:color="auto" w:fill="FFFFFF"/>
        <w:jc w:val="both"/>
        <w:rPr>
          <w:rFonts w:ascii="Arial" w:hAnsi="Arial" w:cs="Arial"/>
          <w:color w:val="000000"/>
          <w:sz w:val="20"/>
          <w:szCs w:val="20"/>
        </w:rPr>
      </w:pPr>
      <w:r>
        <w:rPr>
          <w:rFonts w:ascii="Arial" w:hAnsi="Arial" w:cs="Arial"/>
          <w:color w:val="000000"/>
          <w:sz w:val="20"/>
          <w:szCs w:val="20"/>
        </w:rPr>
        <w:lastRenderedPageBreak/>
        <w:t>Yours faithfully,</w:t>
      </w:r>
    </w:p>
    <w:p w:rsidR="00521D2C" w:rsidRDefault="00521D2C" w:rsidP="00521D2C">
      <w:pPr>
        <w:pStyle w:val="NormalWeb"/>
        <w:pBdr>
          <w:bottom w:val="single" w:sz="12" w:space="1" w:color="auto"/>
        </w:pBdr>
        <w:shd w:val="clear" w:color="auto" w:fill="FFFFFF"/>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rsidR="00D428D5" w:rsidRPr="00C760EA" w:rsidRDefault="00372F67" w:rsidP="00D428D5">
      <w:pPr>
        <w:shd w:val="clear" w:color="auto" w:fill="FFFFFF"/>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D428D5" w:rsidRPr="00C760EA">
        <w:rPr>
          <w:rFonts w:ascii="Times New Roman" w:hAnsi="Times New Roman" w:cs="Times New Roman"/>
          <w:b/>
          <w:bCs/>
          <w:color w:val="000000"/>
          <w:sz w:val="24"/>
          <w:szCs w:val="24"/>
        </w:rPr>
        <w:t>Master Direction – Reserve Bank of India (Certificate of Deposit) Directions, 2021</w:t>
      </w:r>
    </w:p>
    <w:p w:rsidR="00D428D5" w:rsidRDefault="00D428D5" w:rsidP="00D428D5">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D428D5" w:rsidRPr="00762028" w:rsidRDefault="00D428D5" w:rsidP="00D428D5">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762028">
        <w:rPr>
          <w:rFonts w:ascii="Times New Roman" w:eastAsia="Times New Roman" w:hAnsi="Times New Roman" w:cs="Times New Roman"/>
          <w:b/>
          <w:color w:val="000000"/>
          <w:sz w:val="24"/>
          <w:szCs w:val="24"/>
          <w:lang w:eastAsia="en-IN"/>
        </w:rPr>
        <w:t>RBI/2021-22/79 FMRD.DIRD.03/14.01.003/2021-22</w:t>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r>
      <w:r w:rsidRPr="00762028">
        <w:rPr>
          <w:rFonts w:ascii="Times New Roman" w:eastAsia="Times New Roman" w:hAnsi="Times New Roman" w:cs="Times New Roman"/>
          <w:b/>
          <w:color w:val="000000"/>
          <w:sz w:val="24"/>
          <w:szCs w:val="24"/>
          <w:lang w:eastAsia="en-IN"/>
        </w:rPr>
        <w:tab/>
        <w:t>June 4, 2021</w:t>
      </w:r>
    </w:p>
    <w:p w:rsidR="00D428D5" w:rsidRDefault="00D428D5" w:rsidP="00D428D5">
      <w:pPr>
        <w:pStyle w:val="NormalWeb"/>
        <w:spacing w:before="0" w:beforeAutospacing="0" w:after="0" w:afterAutospacing="0"/>
        <w:jc w:val="both"/>
        <w:rPr>
          <w:color w:val="000000"/>
        </w:rPr>
      </w:pPr>
    </w:p>
    <w:p w:rsidR="00D428D5" w:rsidRPr="00762028" w:rsidRDefault="00D428D5" w:rsidP="00D428D5">
      <w:pPr>
        <w:pStyle w:val="NormalWeb"/>
        <w:spacing w:before="0" w:beforeAutospacing="0" w:after="0" w:afterAutospacing="0"/>
        <w:jc w:val="both"/>
        <w:rPr>
          <w:i/>
          <w:color w:val="000000"/>
        </w:rPr>
      </w:pPr>
      <w:r w:rsidRPr="00762028">
        <w:rPr>
          <w:i/>
          <w:color w:val="000000"/>
        </w:rPr>
        <w:t>All Eligible Market Participants</w:t>
      </w:r>
    </w:p>
    <w:p w:rsidR="00D428D5" w:rsidRDefault="00D428D5" w:rsidP="00D428D5">
      <w:pPr>
        <w:pStyle w:val="NormalWeb"/>
        <w:spacing w:before="0" w:beforeAutospacing="0" w:after="0" w:afterAutospacing="0"/>
        <w:jc w:val="both"/>
        <w:rPr>
          <w:color w:val="000000"/>
        </w:rPr>
      </w:pPr>
    </w:p>
    <w:p w:rsidR="00D428D5" w:rsidRPr="00C760EA" w:rsidRDefault="00D428D5" w:rsidP="00D428D5">
      <w:pPr>
        <w:pStyle w:val="NormalWeb"/>
        <w:spacing w:before="0" w:beforeAutospacing="0" w:after="0" w:afterAutospacing="0"/>
        <w:jc w:val="both"/>
        <w:rPr>
          <w:color w:val="000000"/>
        </w:rPr>
      </w:pPr>
      <w:r w:rsidRPr="00C760EA">
        <w:rPr>
          <w:color w:val="000000"/>
        </w:rPr>
        <w:t>Please refer to Paragraph 6 of the </w:t>
      </w:r>
      <w:hyperlink r:id="rId26" w:tgtFrame="_blank" w:history="1">
        <w:r w:rsidRPr="00C760EA">
          <w:rPr>
            <w:rStyle w:val="Hyperlink"/>
          </w:rPr>
          <w:t>Statement on Developmental and Regulatory Policies</w:t>
        </w:r>
      </w:hyperlink>
      <w:r w:rsidRPr="00C760EA">
        <w:rPr>
          <w:color w:val="000000"/>
        </w:rPr>
        <w:t>, announced as a part of the </w:t>
      </w:r>
      <w:hyperlink r:id="rId27" w:tgtFrame="_blank" w:history="1">
        <w:r w:rsidRPr="00C760EA">
          <w:rPr>
            <w:rStyle w:val="Hyperlink"/>
          </w:rPr>
          <w:t>second Bi-monthly Monetary Policy Statement for 2019-20 dated June 06, 2019</w:t>
        </w:r>
      </w:hyperlink>
      <w:r w:rsidRPr="00C760EA">
        <w:rPr>
          <w:color w:val="000000"/>
        </w:rPr>
        <w:t> regarding Comprehensive Review of Money Market Directions. A reference is also invited to Paragraph 5 of the </w:t>
      </w:r>
      <w:hyperlink r:id="rId28" w:tgtFrame="_blank" w:history="1">
        <w:r w:rsidRPr="00C760EA">
          <w:rPr>
            <w:rStyle w:val="Hyperlink"/>
          </w:rPr>
          <w:t>Statement on Developmental and Regulatory Policies</w:t>
        </w:r>
      </w:hyperlink>
      <w:r w:rsidRPr="00C760EA">
        <w:rPr>
          <w:color w:val="000000"/>
        </w:rPr>
        <w:t>, announced as a part of the </w:t>
      </w:r>
      <w:hyperlink r:id="rId29" w:tgtFrame="_blank" w:history="1">
        <w:r w:rsidRPr="00C760EA">
          <w:rPr>
            <w:rStyle w:val="Hyperlink"/>
          </w:rPr>
          <w:t>second Bi-monthly Monetary Policy Statement for 2021-22 dated June 04, 2021</w:t>
        </w:r>
      </w:hyperlink>
      <w:r w:rsidRPr="00C760EA">
        <w:rPr>
          <w:color w:val="000000"/>
        </w:rPr>
        <w:t> on ‘Facilitating Flexibility in Liquidity Management by issuers of Certificates of Deposit’.</w:t>
      </w:r>
    </w:p>
    <w:p w:rsidR="00D428D5" w:rsidRDefault="00D428D5" w:rsidP="00D428D5">
      <w:pPr>
        <w:pStyle w:val="NormalWeb"/>
        <w:spacing w:before="0" w:beforeAutospacing="0" w:after="0" w:afterAutospacing="0"/>
        <w:jc w:val="both"/>
        <w:rPr>
          <w:color w:val="000000"/>
        </w:rPr>
      </w:pPr>
    </w:p>
    <w:p w:rsidR="00D428D5" w:rsidRPr="00C760EA" w:rsidRDefault="00D428D5" w:rsidP="00D428D5">
      <w:pPr>
        <w:pStyle w:val="NormalWeb"/>
        <w:spacing w:before="0" w:beforeAutospacing="0" w:after="0" w:afterAutospacing="0"/>
        <w:jc w:val="both"/>
        <w:rPr>
          <w:b/>
          <w:bCs/>
          <w:color w:val="000000"/>
        </w:rPr>
      </w:pPr>
      <w:r w:rsidRPr="00C760EA">
        <w:rPr>
          <w:color w:val="000000"/>
        </w:rPr>
        <w:t>2. The draft Directions on Certificate of Deposits were released for public comments on </w:t>
      </w:r>
      <w:hyperlink r:id="rId30" w:tgtFrame="_blank" w:history="1">
        <w:r w:rsidRPr="00C760EA">
          <w:rPr>
            <w:rStyle w:val="Hyperlink"/>
          </w:rPr>
          <w:t>December 04, 2020</w:t>
        </w:r>
      </w:hyperlink>
      <w:r w:rsidRPr="00C760EA">
        <w:rPr>
          <w:color w:val="000000"/>
        </w:rPr>
        <w:t xml:space="preserve">. Based on the feedback received from the market participants, the Reserve Bank of India (Certificate of Deposit) Directions, 2021 were reviewed and have since been finalised. </w:t>
      </w:r>
    </w:p>
    <w:p w:rsidR="00D428D5" w:rsidRPr="00C760EA" w:rsidRDefault="00D428D5" w:rsidP="00D428D5">
      <w:pPr>
        <w:pStyle w:val="NormalWeb"/>
        <w:spacing w:before="0" w:beforeAutospacing="0" w:after="0" w:afterAutospacing="0"/>
        <w:jc w:val="both"/>
        <w:rPr>
          <w:color w:val="000000"/>
        </w:rPr>
      </w:pPr>
      <w:r w:rsidRPr="00C760EA">
        <w:rPr>
          <w:color w:val="000000"/>
        </w:rPr>
        <w:t>In exercise of the powers conferred under section 45W of the Reserve Bank of India Act, 1934 (hereinafter called the Act) read with section 45U of the Act and of all the powers enabling it in this behalf and in supersession of Section III of </w:t>
      </w:r>
      <w:hyperlink r:id="rId31" w:tgtFrame="_blank" w:history="1">
        <w:r w:rsidRPr="00C760EA">
          <w:rPr>
            <w:rStyle w:val="Hyperlink"/>
          </w:rPr>
          <w:t>FMRD.Master Direction No. 2/2016-17 dated July 07, 2016</w:t>
        </w:r>
      </w:hyperlink>
      <w:r w:rsidRPr="00C760EA">
        <w:rPr>
          <w:color w:val="000000"/>
        </w:rPr>
        <w:t>, the Reserve Bank of India (hereinafter called the Reserve Bank) hereby issues the following Directions to all persons and agencies eligible to deal in Certificate of Deposit.</w:t>
      </w:r>
    </w:p>
    <w:p w:rsidR="00D428D5" w:rsidRDefault="00D428D5" w:rsidP="00D428D5">
      <w:pPr>
        <w:pStyle w:val="head"/>
        <w:spacing w:before="0" w:beforeAutospacing="0" w:after="0" w:afterAutospacing="0"/>
        <w:jc w:val="both"/>
        <w:rPr>
          <w:b/>
          <w:bCs/>
          <w:color w:val="000000"/>
        </w:rPr>
      </w:pPr>
    </w:p>
    <w:p w:rsidR="00D428D5" w:rsidRDefault="00D428D5" w:rsidP="00D428D5">
      <w:pPr>
        <w:pStyle w:val="head"/>
        <w:spacing w:before="0" w:beforeAutospacing="0" w:after="0" w:afterAutospacing="0"/>
        <w:jc w:val="both"/>
        <w:rPr>
          <w:b/>
          <w:bCs/>
          <w:color w:val="000000"/>
        </w:rPr>
      </w:pPr>
      <w:r>
        <w:rPr>
          <w:b/>
          <w:bCs/>
          <w:color w:val="000000"/>
        </w:rPr>
        <w:t>Master Direction</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1. Short title, scope and commencement</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(a)</w:t>
      </w:r>
      <w:r w:rsidRPr="00C760EA">
        <w:rPr>
          <w:color w:val="000000"/>
        </w:rPr>
        <w:t> These Directions shall be called the Master Direction – Reserve Bank of India (Certificate of Deposit) Directions, 2021.</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(b)</w:t>
      </w:r>
      <w:r w:rsidRPr="00C760EA">
        <w:rPr>
          <w:color w:val="000000"/>
        </w:rPr>
        <w:t> These Directions shall come into force with effect from June 07, 2021.</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2. Definitions</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(a)</w:t>
      </w:r>
      <w:r w:rsidRPr="00C760EA">
        <w:rPr>
          <w:color w:val="000000"/>
        </w:rPr>
        <w:t> For the purpose of these Directions, unless the context otherwise requires:</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“Bank”</w:t>
      </w:r>
      <w:r w:rsidRPr="00C760EA">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“Benchmark Interest Rates”</w:t>
      </w:r>
      <w:r w:rsidRPr="00C760EA">
        <w:rPr>
          <w:color w:val="000000"/>
        </w:rPr>
        <w:t> means interest rates administered by Financial Benchmark Administrators;</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“Certificate of Deposit” or “CD”</w:t>
      </w:r>
      <w:r w:rsidRPr="00C760EA">
        <w:rPr>
          <w:color w:val="000000"/>
        </w:rPr>
        <w:t> is a negotiable, unsecured money market instrument issued by a bank as a Usance Promissory Note against funds deposited at the bank for a maturity period upto one year;</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lastRenderedPageBreak/>
        <w:t>“Delivery versus Payment” or “DvP”</w:t>
      </w:r>
      <w:r w:rsidRPr="00C760EA">
        <w:rPr>
          <w:color w:val="000000"/>
        </w:rPr>
        <w:t> means a settlement mechanism which stipulates that transfer of funds from the buyer of securities is made simultaneously with the transfer of securities by the seller of securities;</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“Depository”</w:t>
      </w:r>
      <w:r w:rsidRPr="00C760EA">
        <w:rPr>
          <w:color w:val="000000"/>
        </w:rPr>
        <w:t> shall have the meaning assigned in section 2 (e) of the Depositories Act, 1996 (22 of 1996);</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“Electronic Trading Platform” or “ETP”</w:t>
      </w:r>
      <w:r w:rsidRPr="00C760EA">
        <w:rPr>
          <w:color w:val="000000"/>
        </w:rPr>
        <w:t> shall have the meaning assigned in paragraph 2 (1) (iii) of the Electronic Trading Platform (Reserve Bank) Directions, 2018 dated October 05, 2018 as modified from time to time;</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“Financial Benchmark Administrator” or “FBA”</w:t>
      </w:r>
      <w:r w:rsidRPr="00C760EA">
        <w:rPr>
          <w:color w:val="000000"/>
        </w:rPr>
        <w:t> means a person who controls the creation, operation and administration of financial benchmark(s) authorized under </w:t>
      </w:r>
      <w:hyperlink r:id="rId32" w:tgtFrame="_blank" w:history="1">
        <w:r w:rsidRPr="00C760EA">
          <w:rPr>
            <w:rStyle w:val="Hyperlink"/>
          </w:rPr>
          <w:t>Financial Benchmark Administrators (Reserve Bank) Directions, dated June 26, 2019</w:t>
        </w:r>
      </w:hyperlink>
      <w:r w:rsidRPr="00C760EA">
        <w:rPr>
          <w:color w:val="000000"/>
        </w:rPr>
        <w:t>;</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“Over-the-Counter markets” or “OTC markets”</w:t>
      </w:r>
      <w:r w:rsidRPr="00C760EA">
        <w:rPr>
          <w:color w:val="000000"/>
        </w:rPr>
        <w:t> refers to markets where transactions are undertaken in any manner other than on exchanges and shall include those executed on electronic trading platforms;</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“Person resident in India”</w:t>
      </w:r>
      <w:r w:rsidRPr="00C760EA">
        <w:rPr>
          <w:color w:val="000000"/>
        </w:rPr>
        <w:t> shall have the same meaning assigned to it in section 2 (v) of the Foreign Exchange Management Act, 1999;</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“Recognised stock exchanges”</w:t>
      </w:r>
      <w:r w:rsidRPr="00C760EA">
        <w:rPr>
          <w:color w:val="000000"/>
        </w:rPr>
        <w:t> shall have the meaning assigned in section 2 (f) of the Securities Contract Regulation Act, 1956;</w:t>
      </w:r>
    </w:p>
    <w:p w:rsidR="00D428D5" w:rsidRPr="00C760EA" w:rsidRDefault="00D428D5" w:rsidP="00D428D5">
      <w:pPr>
        <w:pStyle w:val="NormalWeb"/>
        <w:numPr>
          <w:ilvl w:val="0"/>
          <w:numId w:val="6"/>
        </w:numPr>
        <w:spacing w:before="0" w:beforeAutospacing="0" w:after="0" w:afterAutospacing="0"/>
        <w:jc w:val="both"/>
        <w:rPr>
          <w:color w:val="000000"/>
        </w:rPr>
      </w:pPr>
      <w:r w:rsidRPr="00C760EA">
        <w:rPr>
          <w:rStyle w:val="head1"/>
          <w:b/>
          <w:bCs/>
          <w:color w:val="000000"/>
        </w:rPr>
        <w:t>“Small Finance Bank”</w:t>
      </w:r>
      <w:r w:rsidRPr="00C760EA">
        <w:rPr>
          <w:color w:val="000000"/>
        </w:rPr>
        <w:t> means a bank licensed under section 22 of the Banking Regulation Act, 1949 and governed by the terms of the “Reserve Bank </w:t>
      </w:r>
      <w:hyperlink r:id="rId33" w:tgtFrame="_blank" w:history="1">
        <w:r w:rsidRPr="00C760EA">
          <w:rPr>
            <w:rStyle w:val="Hyperlink"/>
          </w:rPr>
          <w:t>Guidelines for Licensing of Small Finance Banks” dated November 27, 2014</w:t>
        </w:r>
      </w:hyperlink>
      <w:r w:rsidRPr="00C760EA">
        <w:rPr>
          <w:color w:val="000000"/>
        </w:rPr>
        <w:t>, as amended from time to time.</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(b)</w:t>
      </w:r>
      <w:r w:rsidRPr="00C760EA">
        <w:rPr>
          <w:color w:val="000000"/>
        </w:rPr>
        <w:t> Words and expressions used but not defined in these Directions shall have the meaning assigned to them in the Reserve Bank of India Act, 1934.</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3. Eligible issuers</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(a)</w:t>
      </w:r>
      <w:r w:rsidRPr="00C760EA">
        <w:rPr>
          <w:color w:val="000000"/>
        </w:rPr>
        <w:t> Certificate of Deposits (CDs) may be issued by:</w:t>
      </w:r>
    </w:p>
    <w:p w:rsidR="00D428D5" w:rsidRPr="00C760EA" w:rsidRDefault="00D428D5" w:rsidP="00D428D5">
      <w:pPr>
        <w:pStyle w:val="NormalWeb"/>
        <w:numPr>
          <w:ilvl w:val="0"/>
          <w:numId w:val="7"/>
        </w:numPr>
        <w:spacing w:before="0" w:beforeAutospacing="0" w:after="0" w:afterAutospacing="0"/>
        <w:jc w:val="both"/>
        <w:rPr>
          <w:color w:val="000000"/>
        </w:rPr>
      </w:pPr>
      <w:r w:rsidRPr="00C760EA">
        <w:rPr>
          <w:color w:val="000000"/>
        </w:rPr>
        <w:t>Scheduled Commercial Banks;</w:t>
      </w:r>
    </w:p>
    <w:p w:rsidR="00D428D5" w:rsidRPr="00C760EA" w:rsidRDefault="00D428D5" w:rsidP="00D428D5">
      <w:pPr>
        <w:pStyle w:val="NormalWeb"/>
        <w:numPr>
          <w:ilvl w:val="0"/>
          <w:numId w:val="7"/>
        </w:numPr>
        <w:spacing w:before="0" w:beforeAutospacing="0" w:after="0" w:afterAutospacing="0"/>
        <w:jc w:val="both"/>
        <w:rPr>
          <w:color w:val="000000"/>
        </w:rPr>
      </w:pPr>
      <w:r w:rsidRPr="00C760EA">
        <w:rPr>
          <w:color w:val="000000"/>
        </w:rPr>
        <w:t>Regional Rural Banks; and</w:t>
      </w:r>
    </w:p>
    <w:p w:rsidR="00D428D5" w:rsidRPr="00C760EA" w:rsidRDefault="00D428D5" w:rsidP="00D428D5">
      <w:pPr>
        <w:pStyle w:val="NormalWeb"/>
        <w:numPr>
          <w:ilvl w:val="0"/>
          <w:numId w:val="7"/>
        </w:numPr>
        <w:spacing w:before="0" w:beforeAutospacing="0" w:after="0" w:afterAutospacing="0"/>
        <w:jc w:val="both"/>
        <w:rPr>
          <w:color w:val="000000"/>
        </w:rPr>
      </w:pPr>
      <w:r w:rsidRPr="00C760EA">
        <w:rPr>
          <w:color w:val="000000"/>
        </w:rPr>
        <w:t>Small Finance Banks.</w:t>
      </w:r>
    </w:p>
    <w:p w:rsidR="00D428D5" w:rsidRPr="00C760EA" w:rsidRDefault="00D428D5" w:rsidP="00D428D5">
      <w:pPr>
        <w:pStyle w:val="NormalWeb"/>
        <w:spacing w:before="0" w:beforeAutospacing="0" w:after="0" w:afterAutospacing="0"/>
        <w:jc w:val="both"/>
        <w:rPr>
          <w:color w:val="000000"/>
        </w:rPr>
      </w:pPr>
      <w:r w:rsidRPr="00C760EA">
        <w:rPr>
          <w:rStyle w:val="head1"/>
          <w:b/>
          <w:bCs/>
          <w:color w:val="000000"/>
        </w:rPr>
        <w:t>(b)</w:t>
      </w:r>
      <w:r w:rsidRPr="00C760EA">
        <w:rPr>
          <w:color w:val="000000"/>
        </w:rPr>
        <w:t> CDs issued by the All India Financial Institution shall be guided by the Directions contained in </w:t>
      </w:r>
      <w:hyperlink r:id="rId34" w:tgtFrame="_blank" w:history="1">
        <w:r w:rsidRPr="00C760EA">
          <w:rPr>
            <w:rStyle w:val="Hyperlink"/>
          </w:rPr>
          <w:t>Master Circular No. FID.FIC.1/01.02.00/2015-16 issued by the Reserve Bank on Resource Raising Norms for Financial Institutions dated July 01, 2015</w:t>
        </w:r>
      </w:hyperlink>
      <w:r w:rsidRPr="00C760EA">
        <w:rPr>
          <w:color w:val="000000"/>
        </w:rPr>
        <w:t>, as amended from time to time.</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4. Eligible investors</w:t>
      </w:r>
    </w:p>
    <w:p w:rsidR="00D428D5" w:rsidRPr="00C760EA" w:rsidRDefault="00D428D5" w:rsidP="00D428D5">
      <w:pPr>
        <w:pStyle w:val="NormalWeb"/>
        <w:spacing w:before="0" w:beforeAutospacing="0" w:after="0" w:afterAutospacing="0"/>
        <w:jc w:val="both"/>
        <w:rPr>
          <w:color w:val="000000"/>
        </w:rPr>
      </w:pPr>
      <w:r w:rsidRPr="00C760EA">
        <w:rPr>
          <w:color w:val="000000"/>
        </w:rPr>
        <w:t>CDs may be issued to all persons resident in India.</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5. General guidelines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(a) Primary issuance</w:t>
      </w:r>
    </w:p>
    <w:p w:rsidR="00D428D5" w:rsidRPr="00C760EA" w:rsidRDefault="00D428D5" w:rsidP="00D428D5">
      <w:pPr>
        <w:pStyle w:val="NormalWeb"/>
        <w:numPr>
          <w:ilvl w:val="0"/>
          <w:numId w:val="8"/>
        </w:numPr>
        <w:spacing w:before="0" w:beforeAutospacing="0" w:after="0" w:afterAutospacing="0"/>
        <w:jc w:val="both"/>
        <w:rPr>
          <w:color w:val="000000"/>
        </w:rPr>
      </w:pPr>
      <w:r w:rsidRPr="00C760EA">
        <w:rPr>
          <w:color w:val="000000"/>
        </w:rPr>
        <w:t>CDs shall be issued only in dematerialised form and held with a depository registered with Securities and Exchange Board of India.</w:t>
      </w:r>
    </w:p>
    <w:p w:rsidR="00D428D5" w:rsidRPr="00C760EA" w:rsidRDefault="00D428D5" w:rsidP="00D428D5">
      <w:pPr>
        <w:pStyle w:val="NormalWeb"/>
        <w:numPr>
          <w:ilvl w:val="0"/>
          <w:numId w:val="8"/>
        </w:numPr>
        <w:spacing w:before="0" w:beforeAutospacing="0" w:after="0" w:afterAutospacing="0"/>
        <w:jc w:val="both"/>
        <w:rPr>
          <w:color w:val="000000"/>
        </w:rPr>
      </w:pPr>
      <w:r w:rsidRPr="00C760EA">
        <w:rPr>
          <w:color w:val="000000"/>
        </w:rPr>
        <w:t>CDs shall be issued in minimum denomination of ₹5 lakh and in multiples of ₹5 lakh thereafter.</w:t>
      </w:r>
    </w:p>
    <w:p w:rsidR="00D428D5" w:rsidRPr="00C760EA" w:rsidRDefault="00D428D5" w:rsidP="00D428D5">
      <w:pPr>
        <w:pStyle w:val="NormalWeb"/>
        <w:numPr>
          <w:ilvl w:val="0"/>
          <w:numId w:val="8"/>
        </w:numPr>
        <w:spacing w:before="0" w:beforeAutospacing="0" w:after="0" w:afterAutospacing="0"/>
        <w:jc w:val="both"/>
        <w:rPr>
          <w:color w:val="000000"/>
        </w:rPr>
      </w:pPr>
      <w:r w:rsidRPr="00C760EA">
        <w:rPr>
          <w:color w:val="000000"/>
        </w:rPr>
        <w:t>The tenor of a CD at issuance shall not be less than seven days and shall not exceed one year.</w:t>
      </w:r>
    </w:p>
    <w:p w:rsidR="00D428D5" w:rsidRPr="00C760EA" w:rsidRDefault="00D428D5" w:rsidP="00D428D5">
      <w:pPr>
        <w:pStyle w:val="NormalWeb"/>
        <w:numPr>
          <w:ilvl w:val="0"/>
          <w:numId w:val="8"/>
        </w:numPr>
        <w:spacing w:before="0" w:beforeAutospacing="0" w:after="0" w:afterAutospacing="0"/>
        <w:jc w:val="both"/>
        <w:rPr>
          <w:color w:val="000000"/>
        </w:rPr>
      </w:pPr>
      <w:r w:rsidRPr="00C760EA">
        <w:rPr>
          <w:color w:val="000000"/>
        </w:rPr>
        <w:lastRenderedPageBreak/>
        <w:t>CDs shall be issued on a T+1 basis where T represents the date of closure of the offer period for issuance of the CDs.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(b) Discount/coupon rate</w:t>
      </w:r>
    </w:p>
    <w:p w:rsidR="00D428D5" w:rsidRPr="00C760EA" w:rsidRDefault="00D428D5" w:rsidP="00D428D5">
      <w:pPr>
        <w:pStyle w:val="NormalWeb"/>
        <w:spacing w:before="0" w:beforeAutospacing="0" w:after="0" w:afterAutospacing="0"/>
        <w:jc w:val="both"/>
        <w:rPr>
          <w:color w:val="000000"/>
        </w:rPr>
      </w:pPr>
      <w:r w:rsidRPr="00C760EA">
        <w:rPr>
          <w:color w:val="000000"/>
        </w:rPr>
        <w:t>CDs may be issued at a discount to the face value. CDs may also be issued on a fixed / floating rate basis provided the interest rate on the floating rate CD is reset at periodic rests agreed to at the time of issue and is linked to a benchmark published by a Financial Benchmark Administrator or approved by the Fixed Income Money Market and Derivatives Association of India (FIMMDA) for this purpose. FIMMDA shall ensure that any floating rate approved by them for this purpose is determined transparently, objectively and in arm’s length transactions.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(c) Secondary market - trading venues and settlement</w:t>
      </w:r>
    </w:p>
    <w:p w:rsidR="00D428D5" w:rsidRPr="00C760EA" w:rsidRDefault="00D428D5" w:rsidP="00D428D5">
      <w:pPr>
        <w:pStyle w:val="NormalWeb"/>
        <w:numPr>
          <w:ilvl w:val="0"/>
          <w:numId w:val="9"/>
        </w:numPr>
        <w:spacing w:before="0" w:beforeAutospacing="0" w:after="0" w:afterAutospacing="0"/>
        <w:jc w:val="both"/>
        <w:rPr>
          <w:color w:val="000000"/>
        </w:rPr>
      </w:pPr>
      <w:r w:rsidRPr="00C760EA">
        <w:rPr>
          <w:color w:val="000000"/>
        </w:rPr>
        <w:t>CDs shall be traded either in Over-the-Counter (OTC) markets, including on Electronic Trading Platforms, or on recognised stock exchanges with the approval of the Reserve Bank.</w:t>
      </w:r>
    </w:p>
    <w:p w:rsidR="00D428D5" w:rsidRPr="00C760EA" w:rsidRDefault="00D428D5" w:rsidP="00D428D5">
      <w:pPr>
        <w:pStyle w:val="NormalWeb"/>
        <w:numPr>
          <w:ilvl w:val="0"/>
          <w:numId w:val="9"/>
        </w:numPr>
        <w:spacing w:before="0" w:beforeAutospacing="0" w:after="0" w:afterAutospacing="0"/>
        <w:jc w:val="both"/>
        <w:rPr>
          <w:color w:val="000000"/>
        </w:rPr>
      </w:pPr>
      <w:r w:rsidRPr="00C760EA">
        <w:rPr>
          <w:color w:val="000000"/>
        </w:rPr>
        <w:t>The settlement cycle for OTC trades in CDs shall be T+0 or T+1.</w:t>
      </w:r>
    </w:p>
    <w:p w:rsidR="00D428D5" w:rsidRPr="00C760EA" w:rsidRDefault="00D428D5" w:rsidP="00D428D5">
      <w:pPr>
        <w:pStyle w:val="NormalWeb"/>
        <w:numPr>
          <w:ilvl w:val="0"/>
          <w:numId w:val="9"/>
        </w:numPr>
        <w:spacing w:before="0" w:beforeAutospacing="0" w:after="0" w:afterAutospacing="0"/>
        <w:jc w:val="both"/>
        <w:rPr>
          <w:color w:val="000000"/>
        </w:rPr>
      </w:pPr>
      <w:r w:rsidRPr="00C760EA">
        <w:rPr>
          <w:color w:val="000000"/>
        </w:rPr>
        <w:t>All secondary market transactions in CDs shall be settled on a DvP basis through the clearing corporation of any recognized stock exchange or any other mechanism approved by the Reserve Bank.</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(d) Loans against CDs</w:t>
      </w:r>
    </w:p>
    <w:p w:rsidR="00D428D5" w:rsidRPr="00C760EA" w:rsidRDefault="00D428D5" w:rsidP="00D428D5">
      <w:pPr>
        <w:pStyle w:val="NormalWeb"/>
        <w:spacing w:before="0" w:beforeAutospacing="0" w:after="0" w:afterAutospacing="0"/>
        <w:jc w:val="both"/>
        <w:rPr>
          <w:color w:val="000000"/>
        </w:rPr>
      </w:pPr>
      <w:r w:rsidRPr="00C760EA">
        <w:rPr>
          <w:color w:val="000000"/>
        </w:rPr>
        <w:t>Banks are not allowed to grant loans against CDs, unless specifically permitted by the Reserve Bank.</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(e) Buyback of CDs</w:t>
      </w:r>
    </w:p>
    <w:p w:rsidR="00D428D5" w:rsidRPr="00C760EA" w:rsidRDefault="00D428D5" w:rsidP="00D428D5">
      <w:pPr>
        <w:pStyle w:val="NormalWeb"/>
        <w:spacing w:before="0" w:beforeAutospacing="0" w:after="0" w:afterAutospacing="0"/>
        <w:jc w:val="both"/>
        <w:rPr>
          <w:color w:val="000000"/>
        </w:rPr>
      </w:pPr>
      <w:r w:rsidRPr="00C760EA">
        <w:rPr>
          <w:color w:val="000000"/>
        </w:rPr>
        <w:t>Issuing banks are permitted to buyback CDs before maturity. Buyback of CDs shall be subject to the following conditions:</w:t>
      </w:r>
    </w:p>
    <w:p w:rsidR="00D428D5" w:rsidRPr="00C760EA" w:rsidRDefault="00D428D5" w:rsidP="00D428D5">
      <w:pPr>
        <w:pStyle w:val="NormalWeb"/>
        <w:numPr>
          <w:ilvl w:val="0"/>
          <w:numId w:val="10"/>
        </w:numPr>
        <w:spacing w:before="0" w:beforeAutospacing="0" w:after="0" w:afterAutospacing="0"/>
        <w:jc w:val="both"/>
        <w:rPr>
          <w:color w:val="000000"/>
        </w:rPr>
      </w:pPr>
      <w:r w:rsidRPr="00C760EA">
        <w:rPr>
          <w:color w:val="000000"/>
        </w:rPr>
        <w:t>Buyback of CDs can be made only 7 days after the date of issue of the CD;</w:t>
      </w:r>
    </w:p>
    <w:p w:rsidR="00D428D5" w:rsidRPr="00C760EA" w:rsidRDefault="00D428D5" w:rsidP="00D428D5">
      <w:pPr>
        <w:pStyle w:val="NormalWeb"/>
        <w:numPr>
          <w:ilvl w:val="0"/>
          <w:numId w:val="10"/>
        </w:numPr>
        <w:spacing w:before="0" w:beforeAutospacing="0" w:after="0" w:afterAutospacing="0"/>
        <w:jc w:val="both"/>
        <w:rPr>
          <w:color w:val="000000"/>
        </w:rPr>
      </w:pPr>
      <w:r w:rsidRPr="00C760EA">
        <w:rPr>
          <w:color w:val="000000"/>
        </w:rPr>
        <w:t>The buyback offer shall be made to all investors in a particular CD issue on identical terms and conditions. The investors shall have the option to accept or reject the buyback offer;</w:t>
      </w:r>
    </w:p>
    <w:p w:rsidR="00D428D5" w:rsidRPr="00C760EA" w:rsidRDefault="00D428D5" w:rsidP="00D428D5">
      <w:pPr>
        <w:pStyle w:val="NormalWeb"/>
        <w:numPr>
          <w:ilvl w:val="0"/>
          <w:numId w:val="10"/>
        </w:numPr>
        <w:spacing w:before="0" w:beforeAutospacing="0" w:after="0" w:afterAutospacing="0"/>
        <w:jc w:val="both"/>
        <w:rPr>
          <w:color w:val="000000"/>
        </w:rPr>
      </w:pPr>
      <w:r w:rsidRPr="00C760EA">
        <w:rPr>
          <w:color w:val="000000"/>
        </w:rPr>
        <w:t>Buyback of CDs shall be at the prevailing market price; and</w:t>
      </w:r>
    </w:p>
    <w:p w:rsidR="00D428D5" w:rsidRPr="00C760EA" w:rsidRDefault="00D428D5" w:rsidP="00D428D5">
      <w:pPr>
        <w:pStyle w:val="NormalWeb"/>
        <w:numPr>
          <w:ilvl w:val="0"/>
          <w:numId w:val="10"/>
        </w:numPr>
        <w:spacing w:before="0" w:beforeAutospacing="0" w:after="0" w:afterAutospacing="0"/>
        <w:jc w:val="both"/>
        <w:rPr>
          <w:color w:val="000000"/>
        </w:rPr>
      </w:pPr>
      <w:r w:rsidRPr="00C760EA">
        <w:rPr>
          <w:color w:val="000000"/>
        </w:rPr>
        <w:t>CDs bought back, partially or in full, shall be extinguished.</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(f) Market timings</w:t>
      </w:r>
    </w:p>
    <w:p w:rsidR="00D428D5" w:rsidRPr="00C760EA" w:rsidRDefault="00D428D5" w:rsidP="00D428D5">
      <w:pPr>
        <w:pStyle w:val="NormalWeb"/>
        <w:spacing w:before="0" w:beforeAutospacing="0" w:after="0" w:afterAutospacing="0"/>
        <w:jc w:val="both"/>
        <w:rPr>
          <w:color w:val="000000"/>
        </w:rPr>
      </w:pPr>
      <w:r w:rsidRPr="00C760EA">
        <w:rPr>
          <w:color w:val="000000"/>
        </w:rPr>
        <w:t>Primary issuance and secondary market trading hours shall be between 9:00 AM and 5:00 PM on a business day or as specified by the Reserve Bank from time to time.</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(g) Repayment of CD</w:t>
      </w:r>
    </w:p>
    <w:p w:rsidR="00D428D5" w:rsidRPr="00C760EA" w:rsidRDefault="00D428D5" w:rsidP="00D428D5">
      <w:pPr>
        <w:pStyle w:val="NormalWeb"/>
        <w:spacing w:before="0" w:beforeAutospacing="0" w:after="0" w:afterAutospacing="0"/>
        <w:jc w:val="both"/>
        <w:rPr>
          <w:color w:val="000000"/>
        </w:rPr>
      </w:pPr>
      <w:r w:rsidRPr="00C760EA">
        <w:rPr>
          <w:color w:val="000000"/>
        </w:rPr>
        <w:t>There will be no grace period for repayment of CDs.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(h) Market practices and documentation</w:t>
      </w:r>
    </w:p>
    <w:p w:rsidR="00D428D5" w:rsidRPr="00C760EA" w:rsidRDefault="00D428D5" w:rsidP="00D428D5">
      <w:pPr>
        <w:pStyle w:val="NormalWeb"/>
        <w:spacing w:before="0" w:beforeAutospacing="0" w:after="0" w:afterAutospacing="0"/>
        <w:jc w:val="both"/>
        <w:rPr>
          <w:color w:val="000000"/>
        </w:rPr>
      </w:pPr>
      <w:r w:rsidRPr="00C760EA">
        <w:rPr>
          <w:color w:val="000000"/>
        </w:rPr>
        <w:t>Eligible participants and agencies in the CD market shall follow the standardised procedures and documentation which may be prescribed by FIMMDA, in consultation with the Reserve Bank, for operational flexibility and smooth functioning of the markets.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(i) Reserve requirements</w:t>
      </w:r>
    </w:p>
    <w:p w:rsidR="00D428D5" w:rsidRPr="00C760EA" w:rsidRDefault="00D428D5" w:rsidP="00D428D5">
      <w:pPr>
        <w:pStyle w:val="NormalWeb"/>
        <w:spacing w:before="0" w:beforeAutospacing="0" w:after="0" w:afterAutospacing="0"/>
        <w:jc w:val="both"/>
        <w:rPr>
          <w:color w:val="000000"/>
        </w:rPr>
      </w:pPr>
      <w:r w:rsidRPr="00C760EA">
        <w:rPr>
          <w:color w:val="000000"/>
        </w:rPr>
        <w:t>Reserve requirements in respect of the CDs issued by banks shall be governed by relevant regulations of the Reserve Bank.</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(j) Accounting</w:t>
      </w:r>
    </w:p>
    <w:p w:rsidR="00D428D5" w:rsidRPr="00C760EA" w:rsidRDefault="00D428D5" w:rsidP="00D428D5">
      <w:pPr>
        <w:pStyle w:val="NormalWeb"/>
        <w:spacing w:before="0" w:beforeAutospacing="0" w:after="0" w:afterAutospacing="0"/>
        <w:jc w:val="both"/>
        <w:rPr>
          <w:color w:val="000000"/>
        </w:rPr>
      </w:pPr>
      <w:r w:rsidRPr="00C760EA">
        <w:rPr>
          <w:color w:val="000000"/>
        </w:rPr>
        <w:t>Accounting for CD transactions shall be as per the applicable accounting standards prescribed by the Institute of Chartered Accountants of India (ICAI) or other standard setting organisations or as specified by the relevant regulations of the Reserve Bank.</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6. Reporting requirements</w:t>
      </w:r>
    </w:p>
    <w:p w:rsidR="00D428D5" w:rsidRPr="00C760EA" w:rsidRDefault="00D428D5" w:rsidP="00D428D5">
      <w:pPr>
        <w:pStyle w:val="head"/>
        <w:spacing w:before="0" w:beforeAutospacing="0" w:after="0" w:afterAutospacing="0"/>
        <w:jc w:val="both"/>
        <w:rPr>
          <w:b/>
          <w:bCs/>
          <w:color w:val="000000"/>
        </w:rPr>
      </w:pPr>
      <w:r w:rsidRPr="00C760EA">
        <w:rPr>
          <w:b/>
          <w:bCs/>
          <w:color w:val="000000"/>
        </w:rPr>
        <w:lastRenderedPageBreak/>
        <w:t>(a) Primary issuance</w:t>
      </w:r>
    </w:p>
    <w:p w:rsidR="00D428D5" w:rsidRPr="00C760EA" w:rsidRDefault="00D428D5" w:rsidP="00D428D5">
      <w:pPr>
        <w:pStyle w:val="NormalWeb"/>
        <w:spacing w:before="0" w:beforeAutospacing="0" w:after="0" w:afterAutospacing="0"/>
        <w:jc w:val="both"/>
        <w:rPr>
          <w:color w:val="000000"/>
        </w:rPr>
      </w:pPr>
      <w:r w:rsidRPr="00C760EA">
        <w:rPr>
          <w:color w:val="000000"/>
        </w:rPr>
        <w:t>Details of primary issuance of a CD shall be reported by the issuer to the Trade Repository (TR), i.e., Financial Market Trade Reporting and Confirmation Platform (“F-TRAC”) of the Clearing Corporation of India Ltd. (CCIL) by 5.30 PM on the day of issuance or as decided by the Reserve Bank from time to time.</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(b) Secondary market transactions</w:t>
      </w:r>
    </w:p>
    <w:p w:rsidR="00D428D5" w:rsidRPr="00C760EA" w:rsidRDefault="00D428D5" w:rsidP="00D428D5">
      <w:pPr>
        <w:pStyle w:val="NormalWeb"/>
        <w:spacing w:before="0" w:beforeAutospacing="0" w:after="0" w:afterAutospacing="0"/>
        <w:jc w:val="both"/>
        <w:rPr>
          <w:color w:val="000000"/>
        </w:rPr>
      </w:pPr>
      <w:r w:rsidRPr="00C760EA">
        <w:rPr>
          <w:color w:val="000000"/>
        </w:rPr>
        <w:t>All secondary market transactions executed in OTC market and/or on the recognised stock exchanges in CDs shall be reported, with time stamp, within 15 minutes of execution (the time when price is agreed) on the F-TRAC platform by each counterparty to the transaction.</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(c) Buyback transactions</w:t>
      </w:r>
    </w:p>
    <w:p w:rsidR="00D428D5" w:rsidRPr="00C760EA" w:rsidRDefault="00D428D5" w:rsidP="00D428D5">
      <w:pPr>
        <w:pStyle w:val="NormalWeb"/>
        <w:spacing w:before="0" w:beforeAutospacing="0" w:after="0" w:afterAutospacing="0"/>
        <w:jc w:val="both"/>
        <w:rPr>
          <w:color w:val="000000"/>
        </w:rPr>
      </w:pPr>
      <w:r w:rsidRPr="00C760EA">
        <w:rPr>
          <w:color w:val="000000"/>
        </w:rPr>
        <w:t>Details of the buyback of a CD shall be reported by the issuer on the F-TRAC platform by 5.30 PM on the day of buyback.</w:t>
      </w:r>
    </w:p>
    <w:p w:rsidR="00D428D5" w:rsidRPr="00C760EA" w:rsidRDefault="00D428D5" w:rsidP="00D428D5">
      <w:pPr>
        <w:pStyle w:val="head"/>
        <w:spacing w:before="0" w:beforeAutospacing="0" w:after="0" w:afterAutospacing="0"/>
        <w:jc w:val="both"/>
        <w:rPr>
          <w:b/>
          <w:bCs/>
          <w:color w:val="000000"/>
        </w:rPr>
      </w:pPr>
      <w:r w:rsidRPr="00C760EA">
        <w:rPr>
          <w:b/>
          <w:bCs/>
          <w:color w:val="000000"/>
        </w:rPr>
        <w:t>(d) Reporting by depositories</w:t>
      </w:r>
    </w:p>
    <w:p w:rsidR="00D428D5" w:rsidRPr="00C760EA" w:rsidRDefault="00D428D5" w:rsidP="00D428D5">
      <w:pPr>
        <w:pStyle w:val="NormalWeb"/>
        <w:spacing w:before="0" w:beforeAutospacing="0" w:after="0" w:afterAutospacing="0"/>
        <w:jc w:val="both"/>
        <w:rPr>
          <w:color w:val="000000"/>
        </w:rPr>
      </w:pPr>
      <w:r w:rsidRPr="00C760EA">
        <w:rPr>
          <w:color w:val="000000"/>
        </w:rPr>
        <w:t>The depositories shall report to the Reserve Bank, the details of the CDs held with them in the dematerialised form, in the prescribed format furnished in </w:t>
      </w:r>
      <w:hyperlink r:id="rId35" w:anchor="AN_1" w:history="1">
        <w:r w:rsidRPr="00C760EA">
          <w:rPr>
            <w:rStyle w:val="Hyperlink"/>
          </w:rPr>
          <w:t>Annex I</w:t>
        </w:r>
      </w:hyperlink>
      <w:r w:rsidRPr="00C760EA">
        <w:rPr>
          <w:color w:val="000000"/>
        </w:rPr>
        <w:t>, at fortnightly intervals (on the 15th day and on the last day of the month) and as and when called upon to do so by the Reserve Bank.</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7. Obligation to provide information sought by the Reserve Bank</w:t>
      </w:r>
    </w:p>
    <w:p w:rsidR="00D428D5" w:rsidRPr="00C760EA" w:rsidRDefault="00D428D5" w:rsidP="00D428D5">
      <w:pPr>
        <w:pStyle w:val="NormalWeb"/>
        <w:spacing w:before="0" w:beforeAutospacing="0" w:after="0" w:afterAutospacing="0"/>
        <w:jc w:val="both"/>
        <w:rPr>
          <w:color w:val="000000"/>
        </w:rPr>
      </w:pPr>
      <w:r w:rsidRPr="00C760EA">
        <w:rPr>
          <w:color w:val="000000"/>
        </w:rPr>
        <w:t>The Reserve Bank may call for any information or statement or seek any clarification, which in the opinion of the Reserve Bank is relevant, from persons or agencies dealing in the CDs, including eligible issuers/ investors and such persons, agencies and participants shall furnish the information, statement or clarification.</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8. Dissemination of data</w:t>
      </w:r>
    </w:p>
    <w:p w:rsidR="00D428D5" w:rsidRPr="00C760EA" w:rsidRDefault="00D428D5" w:rsidP="00D428D5">
      <w:pPr>
        <w:pStyle w:val="NormalWeb"/>
        <w:spacing w:before="0" w:beforeAutospacing="0" w:after="0" w:afterAutospacing="0"/>
        <w:jc w:val="both"/>
        <w:rPr>
          <w:color w:val="000000"/>
        </w:rPr>
      </w:pPr>
      <w:r w:rsidRPr="00C760EA">
        <w:rPr>
          <w:color w:val="000000"/>
        </w:rPr>
        <w:t>The Reserve Bank or any other person authorised by the Reserve Bank, may publish any anonymised data related to transactions in primary and secondary markets in CDs.</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9. Violation of Directions</w:t>
      </w:r>
    </w:p>
    <w:p w:rsidR="00D428D5" w:rsidRPr="00C760EA" w:rsidRDefault="00D428D5" w:rsidP="00D428D5">
      <w:pPr>
        <w:pStyle w:val="NormalWeb"/>
        <w:spacing w:before="0" w:beforeAutospacing="0" w:after="0" w:afterAutospacing="0"/>
        <w:jc w:val="both"/>
        <w:rPr>
          <w:color w:val="000000"/>
        </w:rPr>
      </w:pPr>
      <w:r w:rsidRPr="00C760EA">
        <w:rPr>
          <w:color w:val="000000"/>
        </w:rPr>
        <w:t>In the event of any person or agency violating any provision of these Directions or the provisions of any other applicable law, the Reserve Bank may, in addition to taking any penal or regulatory action in accordance with law, disallow that person or agency from dealing in the CD market for a period not exceeding one month at a time, after providing reasonable opportunity to the person or agency to defend its actions, and such action will be made public by the Reserve Bank.</w:t>
      </w:r>
    </w:p>
    <w:p w:rsidR="00D428D5" w:rsidRDefault="00D428D5" w:rsidP="00D428D5">
      <w:pPr>
        <w:pStyle w:val="head"/>
        <w:spacing w:before="0" w:beforeAutospacing="0" w:after="0" w:afterAutospacing="0"/>
        <w:jc w:val="both"/>
        <w:rPr>
          <w:b/>
          <w:bCs/>
          <w:color w:val="000000"/>
        </w:rPr>
      </w:pPr>
    </w:p>
    <w:p w:rsidR="00D428D5" w:rsidRPr="00C760EA" w:rsidRDefault="00D428D5" w:rsidP="00D428D5">
      <w:pPr>
        <w:pStyle w:val="head"/>
        <w:spacing w:before="0" w:beforeAutospacing="0" w:after="0" w:afterAutospacing="0"/>
        <w:jc w:val="both"/>
        <w:rPr>
          <w:b/>
          <w:bCs/>
          <w:color w:val="000000"/>
        </w:rPr>
      </w:pPr>
      <w:r w:rsidRPr="00C760EA">
        <w:rPr>
          <w:b/>
          <w:bCs/>
          <w:color w:val="000000"/>
        </w:rPr>
        <w:t>10. Applicability of other laws, directions, regulations or guidelines</w:t>
      </w:r>
    </w:p>
    <w:p w:rsidR="00D428D5" w:rsidRPr="00C760EA" w:rsidRDefault="00D428D5" w:rsidP="00D428D5">
      <w:pPr>
        <w:pStyle w:val="NormalWeb"/>
        <w:spacing w:before="0" w:beforeAutospacing="0" w:after="0" w:afterAutospacing="0"/>
        <w:jc w:val="both"/>
        <w:rPr>
          <w:color w:val="000000"/>
        </w:rPr>
      </w:pPr>
      <w:r w:rsidRPr="00C760EA">
        <w:rPr>
          <w:color w:val="000000"/>
        </w:rPr>
        <w:t>Participants in CD market shall abide by the provisions of any directions, regulations or guidelines issued by any regulator or any other authority that may be applicable, in respect of issue of or investment in CDs provided that such directions, regulations or guidelines do not conflict with these Directions. In case of any conflicts, the provisions of these Directions shall prevail.</w:t>
      </w:r>
    </w:p>
    <w:p w:rsidR="00D428D5" w:rsidRDefault="00D428D5" w:rsidP="00D428D5">
      <w:pPr>
        <w:shd w:val="clear" w:color="auto" w:fill="FFFFFF"/>
        <w:spacing w:after="0" w:line="240" w:lineRule="auto"/>
        <w:jc w:val="both"/>
        <w:rPr>
          <w:rStyle w:val="head1"/>
          <w:rFonts w:ascii="Times New Roman" w:hAnsi="Times New Roman" w:cs="Times New Roman"/>
          <w:b/>
          <w:bCs/>
          <w:color w:val="000000"/>
          <w:sz w:val="24"/>
          <w:szCs w:val="24"/>
        </w:rPr>
      </w:pPr>
    </w:p>
    <w:p w:rsidR="00D428D5" w:rsidRDefault="00D428D5" w:rsidP="00D428D5">
      <w:pPr>
        <w:shd w:val="clear" w:color="auto" w:fill="FFFFFF"/>
        <w:spacing w:after="0" w:line="240" w:lineRule="auto"/>
        <w:jc w:val="both"/>
        <w:rPr>
          <w:rFonts w:ascii="Times New Roman" w:hAnsi="Times New Roman" w:cs="Times New Roman"/>
          <w:color w:val="000000"/>
          <w:sz w:val="24"/>
          <w:szCs w:val="24"/>
        </w:rPr>
      </w:pPr>
      <w:r w:rsidRPr="00C760EA">
        <w:rPr>
          <w:rStyle w:val="head1"/>
          <w:rFonts w:ascii="Times New Roman" w:hAnsi="Times New Roman" w:cs="Times New Roman"/>
          <w:b/>
          <w:bCs/>
          <w:color w:val="000000"/>
          <w:sz w:val="24"/>
          <w:szCs w:val="24"/>
        </w:rPr>
        <w:t>11.</w:t>
      </w:r>
      <w:r w:rsidRPr="00C760EA">
        <w:rPr>
          <w:rFonts w:ascii="Times New Roman" w:hAnsi="Times New Roman" w:cs="Times New Roman"/>
          <w:color w:val="000000"/>
          <w:sz w:val="24"/>
          <w:szCs w:val="24"/>
        </w:rPr>
        <w:t> These Directions shall apply to the transactions in Certificate of Deposit entered into from the date these Directions come into force. Provisions of Section III of </w:t>
      </w:r>
      <w:hyperlink r:id="rId36" w:tgtFrame="_blank" w:history="1">
        <w:r w:rsidRPr="00C760EA">
          <w:rPr>
            <w:rStyle w:val="Hyperlink"/>
            <w:rFonts w:ascii="Times New Roman" w:hAnsi="Times New Roman" w:cs="Times New Roman"/>
            <w:sz w:val="24"/>
            <w:szCs w:val="24"/>
          </w:rPr>
          <w:t>FMRD.Master Direction No. 2/2016-17 dated July 07, 2016</w:t>
        </w:r>
      </w:hyperlink>
      <w:r w:rsidRPr="00C760EA">
        <w:rPr>
          <w:rFonts w:ascii="Times New Roman" w:hAnsi="Times New Roman" w:cs="Times New Roman"/>
          <w:color w:val="000000"/>
          <w:sz w:val="24"/>
          <w:szCs w:val="24"/>
        </w:rPr>
        <w:t> shall continue to be applicable to the CDs issued in accordance with the said Directions till the maturity of those CDs.</w:t>
      </w:r>
    </w:p>
    <w:p w:rsidR="00D428D5" w:rsidRPr="00C760EA" w:rsidRDefault="00D428D5" w:rsidP="00D428D5">
      <w:pPr>
        <w:shd w:val="clear" w:color="auto" w:fill="FFFFFF"/>
        <w:spacing w:after="0" w:line="240" w:lineRule="auto"/>
        <w:jc w:val="both"/>
        <w:rPr>
          <w:rFonts w:ascii="Times New Roman" w:hAnsi="Times New Roman" w:cs="Times New Roman"/>
          <w:color w:val="000000"/>
          <w:sz w:val="24"/>
          <w:szCs w:val="24"/>
        </w:rPr>
      </w:pPr>
    </w:p>
    <w:p w:rsidR="00D428D5" w:rsidRPr="00C760EA" w:rsidRDefault="003327B0" w:rsidP="00D428D5">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hyperlink r:id="rId37" w:history="1">
        <w:r w:rsidR="00D428D5" w:rsidRPr="00C760EA">
          <w:rPr>
            <w:rStyle w:val="Hyperlink"/>
            <w:rFonts w:ascii="Times New Roman" w:hAnsi="Times New Roman" w:cs="Times New Roman"/>
            <w:sz w:val="24"/>
            <w:szCs w:val="24"/>
          </w:rPr>
          <w:t>https://www.rbi.org.in/Scripts/NotificationUser.aspx?Id=12108&amp;Mode=0</w:t>
        </w:r>
      </w:hyperlink>
    </w:p>
    <w:p w:rsidR="00D428D5" w:rsidRPr="00C760EA" w:rsidRDefault="00D428D5" w:rsidP="00D428D5">
      <w:pPr>
        <w:pBdr>
          <w:bottom w:val="single" w:sz="12" w:space="1" w:color="auto"/>
        </w:pBdr>
        <w:shd w:val="clear" w:color="auto" w:fill="FFFFFF"/>
        <w:spacing w:after="0" w:line="240" w:lineRule="auto"/>
        <w:jc w:val="both"/>
        <w:rPr>
          <w:rFonts w:ascii="Times New Roman" w:hAnsi="Times New Roman" w:cs="Times New Roman"/>
          <w:color w:val="000000"/>
          <w:sz w:val="24"/>
          <w:szCs w:val="24"/>
        </w:rPr>
      </w:pPr>
    </w:p>
    <w:p w:rsidR="00BB355D" w:rsidRPr="00C760EA" w:rsidRDefault="00372F67" w:rsidP="00BB355D">
      <w:pPr>
        <w:pStyle w:val="NormalWeb"/>
        <w:shd w:val="clear" w:color="auto" w:fill="FFFFFF"/>
        <w:spacing w:before="0" w:beforeAutospacing="0" w:after="0" w:afterAutospacing="0"/>
        <w:jc w:val="both"/>
        <w:rPr>
          <w:b/>
          <w:bCs/>
          <w:color w:val="000000"/>
        </w:rPr>
      </w:pPr>
      <w:r>
        <w:rPr>
          <w:b/>
          <w:bCs/>
          <w:color w:val="000000"/>
        </w:rPr>
        <w:t xml:space="preserve">7. </w:t>
      </w:r>
      <w:r w:rsidR="00BB355D" w:rsidRPr="00C760EA">
        <w:rPr>
          <w:b/>
          <w:bCs/>
          <w:color w:val="000000"/>
        </w:rPr>
        <w:t>Resolution Framework - 2.0: Resolution of Covid-19 related stress of Micro, Small and Medium Enterprises (MSMEs) – Revision in the threshold for aggregate exposure</w:t>
      </w:r>
    </w:p>
    <w:p w:rsidR="00BB355D" w:rsidRPr="00C760EA" w:rsidRDefault="00BB355D" w:rsidP="00BB355D">
      <w:pPr>
        <w:pStyle w:val="NormalWeb"/>
        <w:shd w:val="clear" w:color="auto" w:fill="FFFFFF"/>
        <w:spacing w:before="0" w:beforeAutospacing="0" w:after="0" w:afterAutospacing="0"/>
        <w:jc w:val="both"/>
        <w:rPr>
          <w:b/>
          <w:bCs/>
          <w:color w:val="000000"/>
        </w:rPr>
      </w:pPr>
    </w:p>
    <w:p w:rsidR="00BB355D" w:rsidRPr="00C760EA" w:rsidRDefault="00BB355D" w:rsidP="00BB355D">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BB355D" w:rsidRDefault="00BB355D" w:rsidP="00BB355D">
      <w:pPr>
        <w:pStyle w:val="NormalWeb"/>
        <w:spacing w:before="0" w:beforeAutospacing="0" w:after="0" w:afterAutospacing="0"/>
        <w:jc w:val="both"/>
        <w:rPr>
          <w:color w:val="000000"/>
        </w:rPr>
      </w:pPr>
    </w:p>
    <w:p w:rsidR="00BB355D" w:rsidRPr="00762028" w:rsidRDefault="00BB355D" w:rsidP="00BB355D">
      <w:pPr>
        <w:pStyle w:val="NormalWeb"/>
        <w:spacing w:before="0" w:beforeAutospacing="0" w:after="0" w:afterAutospacing="0"/>
        <w:jc w:val="both"/>
        <w:rPr>
          <w:i/>
          <w:color w:val="000000"/>
        </w:rPr>
      </w:pPr>
      <w:r w:rsidRPr="00762028">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BB355D" w:rsidRDefault="00BB355D" w:rsidP="00BB355D">
      <w:pPr>
        <w:pStyle w:val="NormalWeb"/>
        <w:spacing w:before="0" w:beforeAutospacing="0" w:after="0" w:afterAutospacing="0"/>
        <w:jc w:val="both"/>
        <w:rPr>
          <w:color w:val="000000"/>
        </w:rPr>
      </w:pPr>
    </w:p>
    <w:p w:rsidR="00BB355D" w:rsidRPr="00C760EA" w:rsidRDefault="00BB355D" w:rsidP="00BB355D">
      <w:pPr>
        <w:pStyle w:val="NormalWeb"/>
        <w:spacing w:before="0" w:beforeAutospacing="0" w:after="0" w:afterAutospacing="0"/>
        <w:jc w:val="both"/>
        <w:rPr>
          <w:color w:val="000000"/>
        </w:rPr>
      </w:pPr>
      <w:r w:rsidRPr="00C760EA">
        <w:rPr>
          <w:color w:val="000000"/>
        </w:rPr>
        <w:t>A reference is invited to the </w:t>
      </w:r>
      <w:hyperlink r:id="rId38"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BB355D" w:rsidRDefault="00BB355D" w:rsidP="00BB355D">
      <w:pPr>
        <w:pStyle w:val="NormalWeb"/>
        <w:spacing w:before="0" w:beforeAutospacing="0" w:after="0" w:afterAutospacing="0"/>
        <w:jc w:val="both"/>
        <w:rPr>
          <w:color w:val="000000"/>
        </w:rPr>
      </w:pPr>
    </w:p>
    <w:p w:rsidR="00BB355D" w:rsidRPr="00C760EA" w:rsidRDefault="00BB355D" w:rsidP="00BB355D">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include sub-clause (iii) which states that the aggregate exposure, including non-fund based facilities, of all lending institutions to the MSME borrower should not exceed ₹25 crore as on March 31, 2021.</w:t>
      </w:r>
    </w:p>
    <w:p w:rsidR="00BB355D" w:rsidRDefault="00BB355D" w:rsidP="00BB355D">
      <w:pPr>
        <w:pStyle w:val="NormalWeb"/>
        <w:spacing w:before="0" w:beforeAutospacing="0" w:after="0" w:afterAutospacing="0"/>
        <w:jc w:val="both"/>
        <w:rPr>
          <w:color w:val="000000"/>
        </w:rPr>
      </w:pPr>
    </w:p>
    <w:p w:rsidR="00BB355D" w:rsidRPr="00C760EA" w:rsidRDefault="00BB355D" w:rsidP="00BB355D">
      <w:pPr>
        <w:pStyle w:val="NormalWeb"/>
        <w:spacing w:before="0" w:beforeAutospacing="0" w:after="0" w:afterAutospacing="0"/>
        <w:jc w:val="both"/>
        <w:rPr>
          <w:color w:val="000000"/>
        </w:rPr>
      </w:pPr>
      <w:r w:rsidRPr="00C760EA">
        <w:rPr>
          <w:color w:val="000000"/>
        </w:rPr>
        <w:t>3. Based on a review, it has been decided to enhance the above limit from ₹25 crore to ₹50 crore.</w:t>
      </w:r>
    </w:p>
    <w:p w:rsidR="00BB355D" w:rsidRDefault="00BB355D" w:rsidP="00BB355D">
      <w:pPr>
        <w:pStyle w:val="NormalWeb"/>
        <w:spacing w:before="0" w:beforeAutospacing="0" w:after="0" w:afterAutospacing="0"/>
        <w:jc w:val="both"/>
        <w:rPr>
          <w:color w:val="000000"/>
        </w:rPr>
      </w:pPr>
    </w:p>
    <w:p w:rsidR="00BB355D" w:rsidRPr="00C760EA" w:rsidRDefault="00BB355D" w:rsidP="00BB355D">
      <w:pPr>
        <w:pStyle w:val="NormalWeb"/>
        <w:spacing w:before="0" w:beforeAutospacing="0" w:after="0" w:afterAutospacing="0"/>
        <w:jc w:val="both"/>
        <w:rPr>
          <w:color w:val="000000"/>
        </w:rPr>
      </w:pPr>
      <w:r w:rsidRPr="00C760EA">
        <w:rPr>
          <w:color w:val="000000"/>
        </w:rPr>
        <w:t>4. Consequently, clause 2(v) would stand modified as under:</w:t>
      </w:r>
    </w:p>
    <w:p w:rsidR="00BB355D" w:rsidRPr="00C760EA" w:rsidRDefault="00BB355D" w:rsidP="00BB355D">
      <w:pPr>
        <w:pStyle w:val="NormalWeb"/>
        <w:spacing w:before="0" w:beforeAutospacing="0" w:after="0" w:afterAutospacing="0"/>
        <w:jc w:val="both"/>
        <w:rPr>
          <w:color w:val="000000"/>
        </w:rPr>
      </w:pPr>
      <w:r w:rsidRPr="00C760EA">
        <w:rPr>
          <w:color w:val="000000"/>
        </w:rPr>
        <w:t>“(v) The borrower’s account was not restructured in terms of the </w:t>
      </w:r>
      <w:hyperlink r:id="rId39" w:tgtFrame="_blank" w:history="1">
        <w:r w:rsidRPr="00C760EA">
          <w:rPr>
            <w:rStyle w:val="Hyperlink"/>
          </w:rPr>
          <w:t>circulars DOR.No.BP.BC/4/21.04.048/2020-21 dated August 6, 2020</w:t>
        </w:r>
      </w:hyperlink>
      <w:r w:rsidRPr="00C760EA">
        <w:rPr>
          <w:color w:val="000000"/>
        </w:rPr>
        <w:t>; </w:t>
      </w:r>
      <w:hyperlink r:id="rId40" w:tgtFrame="_blank" w:history="1">
        <w:r w:rsidRPr="00C760EA">
          <w:rPr>
            <w:rStyle w:val="Hyperlink"/>
          </w:rPr>
          <w:t>DOR.No.BP.BC.34/21.04.048/2019-20 dated February 11, 2020</w:t>
        </w:r>
      </w:hyperlink>
      <w:r w:rsidRPr="00C760EA">
        <w:rPr>
          <w:color w:val="000000"/>
        </w:rPr>
        <w:t>; or </w:t>
      </w:r>
      <w:hyperlink r:id="rId41"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42" w:tgtFrame="_blank" w:history="1">
        <w:r w:rsidRPr="00C760EA">
          <w:rPr>
            <w:rStyle w:val="Hyperlink"/>
          </w:rPr>
          <w:t>circular DOR.No.BP.BC/3/21.04.048/2020-21 dated August 6, 2020</w:t>
        </w:r>
      </w:hyperlink>
      <w:r w:rsidRPr="00C760EA">
        <w:rPr>
          <w:color w:val="000000"/>
        </w:rPr>
        <w:t> on “Resolution Framework for COVID-19-related Stress.”</w:t>
      </w:r>
    </w:p>
    <w:p w:rsidR="00BB355D" w:rsidRDefault="00BB355D" w:rsidP="00BB355D">
      <w:pPr>
        <w:pStyle w:val="NormalWeb"/>
        <w:shd w:val="clear" w:color="auto" w:fill="FFFFFF"/>
        <w:spacing w:before="0" w:beforeAutospacing="0" w:after="0" w:afterAutospacing="0"/>
        <w:jc w:val="both"/>
        <w:rPr>
          <w:color w:val="000000"/>
        </w:rPr>
      </w:pPr>
    </w:p>
    <w:p w:rsidR="00BB355D" w:rsidRPr="00C760EA" w:rsidRDefault="00BB355D" w:rsidP="00BB355D">
      <w:pPr>
        <w:pStyle w:val="NormalWeb"/>
        <w:shd w:val="clear" w:color="auto" w:fill="FFFFFF"/>
        <w:spacing w:before="0" w:beforeAutospacing="0" w:after="0" w:afterAutospacing="0"/>
        <w:jc w:val="both"/>
        <w:rPr>
          <w:color w:val="000000"/>
        </w:rPr>
      </w:pPr>
      <w:r w:rsidRPr="00C760EA">
        <w:rPr>
          <w:color w:val="000000"/>
        </w:rPr>
        <w:t>5. All other provisions of the circular remain unchanged.</w:t>
      </w:r>
    </w:p>
    <w:p w:rsidR="00BB355D" w:rsidRPr="00C760EA" w:rsidRDefault="00BB355D" w:rsidP="00BB355D">
      <w:pPr>
        <w:pStyle w:val="NormalWeb"/>
        <w:pBdr>
          <w:bottom w:val="single" w:sz="12" w:space="1" w:color="auto"/>
        </w:pBdr>
        <w:shd w:val="clear" w:color="auto" w:fill="FFFFFF"/>
        <w:spacing w:before="0" w:beforeAutospacing="0" w:after="0" w:afterAutospacing="0"/>
        <w:jc w:val="both"/>
        <w:rPr>
          <w:color w:val="000000"/>
        </w:rPr>
      </w:pPr>
    </w:p>
    <w:p w:rsidR="00285CAA" w:rsidRPr="00C760EA" w:rsidRDefault="00372F67" w:rsidP="00285CAA">
      <w:pPr>
        <w:pStyle w:val="NormalWeb"/>
        <w:shd w:val="clear" w:color="auto" w:fill="FFFFFF"/>
        <w:spacing w:before="0" w:beforeAutospacing="0" w:after="0" w:afterAutospacing="0"/>
        <w:jc w:val="both"/>
        <w:rPr>
          <w:bCs/>
          <w:color w:val="000000"/>
        </w:rPr>
      </w:pPr>
      <w:r>
        <w:rPr>
          <w:b/>
          <w:bCs/>
          <w:color w:val="000000"/>
        </w:rPr>
        <w:t xml:space="preserve">8. </w:t>
      </w:r>
      <w:r w:rsidR="00285CAA" w:rsidRPr="00C760EA">
        <w:rPr>
          <w:b/>
          <w:bCs/>
          <w:color w:val="000000"/>
        </w:rPr>
        <w:t>Resolution Framework - 2.0: Resolution of Covid-19 related stress of Individuals and Small Businesses – Revision in the threshold for aggregate exposure</w:t>
      </w:r>
    </w:p>
    <w:p w:rsidR="00285CAA" w:rsidRPr="00C760EA" w:rsidRDefault="00285CAA" w:rsidP="00285CAA">
      <w:pPr>
        <w:pStyle w:val="NormalWeb"/>
        <w:shd w:val="clear" w:color="auto" w:fill="FFFFFF"/>
        <w:spacing w:before="0" w:beforeAutospacing="0" w:after="0" w:afterAutospacing="0"/>
        <w:jc w:val="both"/>
        <w:rPr>
          <w:bCs/>
          <w:color w:val="000000"/>
        </w:rPr>
      </w:pPr>
    </w:p>
    <w:p w:rsidR="00285CAA" w:rsidRPr="00C760EA" w:rsidRDefault="00285CAA" w:rsidP="00285CAA">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C760EA">
        <w:rPr>
          <w:rFonts w:ascii="Times New Roman" w:eastAsia="Times New Roman" w:hAnsi="Times New Roman" w:cs="Times New Roman"/>
          <w:b/>
          <w:color w:val="000000"/>
          <w:sz w:val="24"/>
          <w:szCs w:val="24"/>
          <w:lang w:eastAsia="en-IN"/>
        </w:rPr>
        <w:t xml:space="preserve">RBI/2021-22/46 DOR.STR.REC.20/21.04.048/2021-22 </w:t>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r>
      <w:r w:rsidRPr="00C760EA">
        <w:rPr>
          <w:rFonts w:ascii="Times New Roman" w:eastAsia="Times New Roman" w:hAnsi="Times New Roman" w:cs="Times New Roman"/>
          <w:b/>
          <w:color w:val="000000"/>
          <w:sz w:val="24"/>
          <w:szCs w:val="24"/>
          <w:lang w:eastAsia="en-IN"/>
        </w:rPr>
        <w:tab/>
        <w:t>June 4, 2021</w:t>
      </w:r>
    </w:p>
    <w:p w:rsidR="00285CAA" w:rsidRDefault="00285CAA" w:rsidP="00285CAA">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285CAA" w:rsidRPr="00C760EA" w:rsidRDefault="00285CAA" w:rsidP="00285CAA">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C760EA">
        <w:rPr>
          <w:rFonts w:ascii="Times New Roman" w:eastAsia="Times New Roman" w:hAnsi="Times New Roman" w:cs="Times New Roman"/>
          <w:i/>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285CA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A reference is invited to circular DOR.STR.REC.11/21.04.048/2021-22 on “Resolution Framework – 2.0: Resolution of Covid-19 related stress of Individuals and Small Businesses” dated May 5, 2021.</w:t>
      </w: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2. Clause 5 of the above circular specifies the eligible borrowers who may be considered for resolution under the framework and includes the following sub-clauses:</w:t>
      </w: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(b) Individuals who have availed of loans and advances for business purposes and to whom the lending institutions have aggregate exposure of not more than ₹25 crore as on March 31, 2021.</w:t>
      </w: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(c) Small businesses, including those engaged in retail and wholesale trade, other than those classified as MSME as on March 31, 2021, and to whom the lending institutions have aggregate exposure of not more than ₹25 crore as on March 31, 2021.</w:t>
      </w: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3. Based on a review, it has been decided to enhance the above limits from ₹25 crore to ₹50 crore.</w:t>
      </w: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r w:rsidRPr="00C760EA">
        <w:rPr>
          <w:color w:val="000000"/>
        </w:rPr>
        <w:t>4. All other provisions of the circular remain unchanged.</w:t>
      </w:r>
    </w:p>
    <w:p w:rsidR="00285CAA" w:rsidRPr="00C760EA" w:rsidRDefault="00285CAA" w:rsidP="00285CAA">
      <w:pPr>
        <w:pStyle w:val="NormalWeb"/>
        <w:pBdr>
          <w:bottom w:val="single" w:sz="12" w:space="1" w:color="auto"/>
        </w:pBdr>
        <w:shd w:val="clear" w:color="auto" w:fill="FFFFFF"/>
        <w:spacing w:before="0" w:beforeAutospacing="0" w:after="0" w:afterAutospacing="0"/>
        <w:jc w:val="both"/>
        <w:rPr>
          <w:color w:val="000000"/>
        </w:rPr>
      </w:pPr>
    </w:p>
    <w:p w:rsidR="00285CAA" w:rsidRPr="00C760EA" w:rsidRDefault="00285CAA" w:rsidP="00285CAA">
      <w:pPr>
        <w:pStyle w:val="NormalWeb"/>
        <w:shd w:val="clear" w:color="auto" w:fill="FFFFFF"/>
        <w:spacing w:before="0" w:beforeAutospacing="0" w:after="0" w:afterAutospacing="0"/>
        <w:jc w:val="both"/>
        <w:rPr>
          <w:color w:val="000000"/>
        </w:rPr>
      </w:pPr>
    </w:p>
    <w:p w:rsidR="00285CAA" w:rsidRPr="00BE0E8C" w:rsidRDefault="00372F67" w:rsidP="00285CAA">
      <w:pPr>
        <w:pStyle w:val="NormalWeb"/>
        <w:shd w:val="clear" w:color="auto" w:fill="FFFFFF"/>
        <w:spacing w:before="0" w:beforeAutospacing="0" w:after="0" w:afterAutospacing="0"/>
        <w:jc w:val="both"/>
        <w:rPr>
          <w:b/>
          <w:bCs/>
          <w:color w:val="000000"/>
        </w:rPr>
      </w:pPr>
      <w:r>
        <w:rPr>
          <w:b/>
          <w:bCs/>
          <w:color w:val="000000"/>
        </w:rPr>
        <w:t xml:space="preserve">9. </w:t>
      </w:r>
      <w:r w:rsidR="00285CAA" w:rsidRPr="00BE0E8C">
        <w:rPr>
          <w:b/>
          <w:bCs/>
          <w:color w:val="000000"/>
        </w:rPr>
        <w:t>Customer Due Diligence for transactions in Virtual Currencies (VC)</w:t>
      </w:r>
    </w:p>
    <w:p w:rsidR="00285CAA" w:rsidRDefault="00285CAA" w:rsidP="00285CAA">
      <w:pPr>
        <w:pStyle w:val="NormalWeb"/>
        <w:shd w:val="clear" w:color="auto" w:fill="FFFFFF"/>
        <w:spacing w:before="0" w:beforeAutospacing="0" w:after="0" w:afterAutospacing="0"/>
        <w:jc w:val="both"/>
        <w:rPr>
          <w:color w:val="000000"/>
        </w:rPr>
      </w:pPr>
    </w:p>
    <w:p w:rsidR="00285CAA" w:rsidRPr="00675F53" w:rsidRDefault="00285CAA" w:rsidP="00285CAA">
      <w:pPr>
        <w:pStyle w:val="NormalWeb"/>
        <w:shd w:val="clear" w:color="auto" w:fill="FFFFFF"/>
        <w:spacing w:before="0" w:beforeAutospacing="0" w:after="0" w:afterAutospacing="0"/>
        <w:jc w:val="both"/>
        <w:rPr>
          <w:b/>
          <w:color w:val="000000"/>
        </w:rPr>
      </w:pPr>
      <w:r w:rsidRPr="00675F53">
        <w:rPr>
          <w:b/>
          <w:color w:val="000000"/>
        </w:rPr>
        <w:t xml:space="preserve">RBI/2021-22/45 DOR. AML.REC 18 /14.01.001/2021-22 </w:t>
      </w:r>
      <w:r w:rsidRPr="00675F53">
        <w:rPr>
          <w:b/>
          <w:color w:val="000000"/>
        </w:rPr>
        <w:tab/>
      </w:r>
      <w:r w:rsidRPr="00675F53">
        <w:rPr>
          <w:b/>
          <w:color w:val="000000"/>
        </w:rPr>
        <w:tab/>
      </w:r>
      <w:r w:rsidRPr="00675F53">
        <w:rPr>
          <w:b/>
          <w:color w:val="000000"/>
        </w:rPr>
        <w:tab/>
        <w:t>May 31, 2021</w:t>
      </w:r>
    </w:p>
    <w:p w:rsidR="00285CAA" w:rsidRDefault="00285CAA" w:rsidP="00285CAA">
      <w:pPr>
        <w:pStyle w:val="NormalWeb"/>
        <w:shd w:val="clear" w:color="auto" w:fill="FFFFFF"/>
        <w:spacing w:before="0" w:beforeAutospacing="0" w:after="0" w:afterAutospacing="0"/>
        <w:jc w:val="both"/>
        <w:rPr>
          <w:color w:val="000000"/>
        </w:rPr>
      </w:pPr>
    </w:p>
    <w:p w:rsidR="00285CAA" w:rsidRPr="00675F53" w:rsidRDefault="00285CAA" w:rsidP="00285CAA">
      <w:pPr>
        <w:pStyle w:val="NormalWeb"/>
        <w:shd w:val="clear" w:color="auto" w:fill="FFFFFF"/>
        <w:spacing w:before="0" w:beforeAutospacing="0" w:after="0" w:afterAutospacing="0"/>
        <w:jc w:val="both"/>
        <w:rPr>
          <w:i/>
          <w:color w:val="000000"/>
        </w:rPr>
      </w:pPr>
      <w:r w:rsidRPr="00675F53">
        <w:rPr>
          <w:i/>
          <w:color w:val="000000"/>
        </w:rPr>
        <w:t>All Commercial and Co-operative Banks / Payments Banks/ Small Finance Banks /</w:t>
      </w:r>
      <w:r w:rsidRPr="00675F53">
        <w:rPr>
          <w:i/>
          <w:color w:val="000000"/>
        </w:rPr>
        <w:br/>
        <w:t>NBFCs / Payment System Providers</w:t>
      </w:r>
    </w:p>
    <w:p w:rsidR="00285CAA" w:rsidRDefault="00285CAA" w:rsidP="00285CAA">
      <w:pPr>
        <w:pStyle w:val="NormalWeb"/>
        <w:shd w:val="clear" w:color="auto" w:fill="FFFFFF"/>
        <w:spacing w:before="0" w:beforeAutospacing="0" w:after="0" w:afterAutospacing="0"/>
        <w:jc w:val="both"/>
        <w:rPr>
          <w:color w:val="000000"/>
        </w:rPr>
      </w:pPr>
    </w:p>
    <w:p w:rsidR="00285CAA" w:rsidRPr="00BE0E8C" w:rsidRDefault="00285CAA" w:rsidP="00285CAA">
      <w:pPr>
        <w:pStyle w:val="NormalWeb"/>
        <w:shd w:val="clear" w:color="auto" w:fill="FFFFFF"/>
        <w:spacing w:before="0" w:beforeAutospacing="0" w:after="0" w:afterAutospacing="0"/>
        <w:jc w:val="both"/>
        <w:rPr>
          <w:color w:val="000000"/>
        </w:rPr>
      </w:pPr>
      <w:r w:rsidRPr="00BE0E8C">
        <w:rPr>
          <w:color w:val="000000"/>
        </w:rPr>
        <w:t>It has come to our attention through media reports that certain banks/ regulated entities have cautioned their customers against dealing in virtual currencies by making a reference to the </w:t>
      </w:r>
      <w:hyperlink r:id="rId43" w:tgtFrame="_blank" w:history="1">
        <w:r w:rsidRPr="00BE0E8C">
          <w:rPr>
            <w:rStyle w:val="Hyperlink"/>
          </w:rPr>
          <w:t>RBI circular DBR.No.BP.BC.104/08.13.102/2017-18 dated April 06, 2018</w:t>
        </w:r>
      </w:hyperlink>
      <w:r w:rsidRPr="00BE0E8C">
        <w:rPr>
          <w:color w:val="000000"/>
        </w:rPr>
        <w:t>. Such references to the above circular by banks/ regulated entities are not in order as this  circular was set aside by the Hon’ble Supreme Court on March 04, 2020 in the matter of Writ Petition (Civil) No.528 of 2018 (Internet and Mobile Association of India v. Reserve Bank of India). As such, in view of the order of the Hon’ble Supreme Court, the circular is no longer valid from the date of the Supreme Court judgement, and therefore cannot be cited or quoted from.</w:t>
      </w:r>
    </w:p>
    <w:p w:rsidR="00285CAA" w:rsidRDefault="00285CAA" w:rsidP="00285CAA">
      <w:pPr>
        <w:pStyle w:val="NormalWeb"/>
        <w:pBdr>
          <w:bottom w:val="single" w:sz="12" w:space="1" w:color="auto"/>
        </w:pBdr>
        <w:shd w:val="clear" w:color="auto" w:fill="FFFFFF"/>
        <w:spacing w:before="0" w:beforeAutospacing="0" w:after="0" w:afterAutospacing="0"/>
        <w:jc w:val="both"/>
        <w:rPr>
          <w:color w:val="000000"/>
        </w:rPr>
      </w:pPr>
    </w:p>
    <w:p w:rsidR="00285CAA" w:rsidRDefault="00285CAA" w:rsidP="00285CAA">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2. Banks, as well as other entities addressed above, may, however, continue to carry out customer due diligence processes in line with regulations governing standards for Know Your Customer (KYC), Anti-Money Laundering (AML), Combating of Financing of Terrorism (CFT) and obligations of regulated entities under Prevention of Money Laundering Act, (PMLA), 2002 in addition to ensuring compliance with relevant provisions under Foreign Exchange Management Act (FEMA) for overseas remittances.</w:t>
      </w:r>
    </w:p>
    <w:p w:rsidR="00285CAA" w:rsidRPr="00BE0E8C" w:rsidRDefault="00285CAA" w:rsidP="00285CAA">
      <w:pPr>
        <w:pStyle w:val="NormalWeb"/>
        <w:pBdr>
          <w:bottom w:val="single" w:sz="12" w:space="1" w:color="auto"/>
        </w:pBdr>
        <w:shd w:val="clear" w:color="auto" w:fill="FFFFFF"/>
        <w:spacing w:before="0" w:beforeAutospacing="0" w:after="0" w:afterAutospacing="0"/>
        <w:jc w:val="both"/>
        <w:rPr>
          <w:color w:val="000000"/>
        </w:rPr>
      </w:pPr>
    </w:p>
    <w:p w:rsidR="00285CAA" w:rsidRPr="00BE0E8C" w:rsidRDefault="00285CAA" w:rsidP="00285CAA">
      <w:pPr>
        <w:pStyle w:val="NormalWeb"/>
        <w:shd w:val="clear" w:color="auto" w:fill="FFFFFF"/>
        <w:spacing w:before="0" w:beforeAutospacing="0" w:after="0" w:afterAutospacing="0"/>
        <w:jc w:val="both"/>
        <w:rPr>
          <w:bCs/>
          <w:color w:val="000000"/>
        </w:rPr>
      </w:pPr>
    </w:p>
    <w:p w:rsidR="00915DA7" w:rsidRPr="00BE0E8C" w:rsidRDefault="00372F67" w:rsidP="00915DA7">
      <w:pPr>
        <w:pStyle w:val="NormalWeb"/>
        <w:shd w:val="clear" w:color="auto" w:fill="FFFFFF"/>
        <w:spacing w:before="0" w:beforeAutospacing="0" w:after="0" w:afterAutospacing="0"/>
        <w:jc w:val="both"/>
        <w:rPr>
          <w:b/>
          <w:bCs/>
          <w:color w:val="000000"/>
        </w:rPr>
      </w:pPr>
      <w:r>
        <w:rPr>
          <w:b/>
          <w:bCs/>
          <w:color w:val="000000"/>
        </w:rPr>
        <w:t xml:space="preserve">10. </w:t>
      </w:r>
      <w:r w:rsidR="00915DA7" w:rsidRPr="00BE0E8C">
        <w:rPr>
          <w:b/>
          <w:bCs/>
          <w:color w:val="000000"/>
        </w:rPr>
        <w:t>Relaxation in timeline for compliance with various payment system requirements</w:t>
      </w:r>
    </w:p>
    <w:p w:rsidR="00915DA7" w:rsidRDefault="00915DA7" w:rsidP="00915DA7">
      <w:pPr>
        <w:pStyle w:val="NormalWeb"/>
        <w:shd w:val="clear" w:color="auto" w:fill="FFFFFF"/>
        <w:spacing w:before="0" w:beforeAutospacing="0" w:after="0" w:afterAutospacing="0"/>
        <w:jc w:val="both"/>
        <w:rPr>
          <w:bCs/>
          <w:color w:val="000000"/>
        </w:rPr>
      </w:pPr>
    </w:p>
    <w:p w:rsidR="00915DA7" w:rsidRPr="00BE0E8C" w:rsidRDefault="00915DA7" w:rsidP="00915DA7">
      <w:pPr>
        <w:pStyle w:val="NormalWeb"/>
        <w:shd w:val="clear" w:color="auto" w:fill="FFFFFF"/>
        <w:spacing w:before="0" w:beforeAutospacing="0" w:after="0" w:afterAutospacing="0"/>
        <w:jc w:val="both"/>
        <w:rPr>
          <w:b/>
          <w:bCs/>
          <w:color w:val="000000"/>
        </w:rPr>
      </w:pPr>
      <w:r w:rsidRPr="00BE0E8C">
        <w:rPr>
          <w:b/>
          <w:bCs/>
          <w:color w:val="000000"/>
        </w:rPr>
        <w:t>RBI/2021-22/41 CO.DPSS.POLC.No.S-106/02-14-003/2021-2022</w:t>
      </w:r>
      <w:r w:rsidRPr="00BE0E8C">
        <w:rPr>
          <w:b/>
          <w:bCs/>
          <w:color w:val="000000"/>
        </w:rPr>
        <w:tab/>
        <w:t>May 21, 2021</w:t>
      </w:r>
    </w:p>
    <w:p w:rsidR="00915DA7" w:rsidRDefault="00915DA7" w:rsidP="00915DA7">
      <w:pPr>
        <w:pStyle w:val="NormalWeb"/>
        <w:shd w:val="clear" w:color="auto" w:fill="FFFFFF"/>
        <w:spacing w:before="0" w:beforeAutospacing="0" w:after="0" w:afterAutospacing="0"/>
        <w:jc w:val="both"/>
        <w:rPr>
          <w:color w:val="000000"/>
        </w:rPr>
      </w:pPr>
    </w:p>
    <w:p w:rsidR="00915DA7" w:rsidRPr="00F34D77" w:rsidRDefault="00915DA7" w:rsidP="00915DA7">
      <w:pPr>
        <w:pStyle w:val="NormalWeb"/>
        <w:shd w:val="clear" w:color="auto" w:fill="FFFFFF"/>
        <w:spacing w:before="0" w:beforeAutospacing="0" w:after="0" w:afterAutospacing="0"/>
        <w:jc w:val="both"/>
        <w:rPr>
          <w:i/>
          <w:color w:val="000000"/>
        </w:rPr>
      </w:pPr>
      <w:r w:rsidRPr="00F34D77">
        <w:rPr>
          <w:i/>
          <w:color w:val="000000"/>
        </w:rPr>
        <w:t xml:space="preserve">The Chairman / Managing Director / Chief Executive Officer, All Scheduled Commercial Banks, including Regional Rural Banks / Urban Co-operative Banks / State Co-operative Banks, District </w:t>
      </w:r>
      <w:r w:rsidRPr="00F34D77">
        <w:rPr>
          <w:i/>
          <w:color w:val="000000"/>
        </w:rPr>
        <w:lastRenderedPageBreak/>
        <w:t>Central Co-operative Banks / Payments Banks / Small Finance Banks / Local Area Banks / Non-Bank PPI Issuers / Authorised Payment System Operators / Participants</w:t>
      </w:r>
    </w:p>
    <w:p w:rsidR="00915DA7" w:rsidRDefault="00915DA7" w:rsidP="00915DA7">
      <w:pPr>
        <w:pStyle w:val="NormalWeb"/>
        <w:shd w:val="clear" w:color="auto" w:fill="FFFFFF"/>
        <w:spacing w:before="0" w:beforeAutospacing="0" w:after="0" w:afterAutospacing="0"/>
        <w:jc w:val="both"/>
        <w:rPr>
          <w:color w:val="000000"/>
        </w:rPr>
      </w:pPr>
    </w:p>
    <w:p w:rsidR="00915DA7" w:rsidRPr="00BE0E8C" w:rsidRDefault="00915DA7" w:rsidP="00915DA7">
      <w:pPr>
        <w:pStyle w:val="NormalWeb"/>
        <w:shd w:val="clear" w:color="auto" w:fill="FFFFFF"/>
        <w:spacing w:before="0" w:beforeAutospacing="0" w:after="0" w:afterAutospacing="0"/>
        <w:jc w:val="both"/>
        <w:rPr>
          <w:color w:val="000000"/>
        </w:rPr>
      </w:pPr>
      <w:r w:rsidRPr="00BE0E8C">
        <w:rPr>
          <w:color w:val="000000"/>
        </w:rPr>
        <w:t>A reference is invited to Reserve Bank of India instructions – (a) </w:t>
      </w:r>
      <w:hyperlink r:id="rId44" w:tgtFrame="_blank" w:history="1">
        <w:r w:rsidRPr="00BE0E8C">
          <w:rPr>
            <w:rStyle w:val="Hyperlink"/>
          </w:rPr>
          <w:t>DPSS.CO.PD.No.1164/02.14.006/2017-18 dated October 11, 2017</w:t>
        </w:r>
      </w:hyperlink>
      <w:r w:rsidRPr="00BE0E8C">
        <w:rPr>
          <w:color w:val="000000"/>
        </w:rPr>
        <w:t> (as updated from time to time) on Master Direction on Issuance and Operation of Prepaid Payment Instruments (PPI-MD); (b) </w:t>
      </w:r>
      <w:hyperlink r:id="rId45" w:tgtFrame="_blank" w:history="1">
        <w:r w:rsidRPr="00BE0E8C">
          <w:rPr>
            <w:rStyle w:val="Hyperlink"/>
          </w:rPr>
          <w:t>DPSS.CO.PD.No.629/02.01.014/2019-20 dated September 20, 2019</w:t>
        </w:r>
      </w:hyperlink>
      <w:r w:rsidRPr="00BE0E8C">
        <w:rPr>
          <w:color w:val="000000"/>
        </w:rPr>
        <w:t> on Harmonisation of Turn Around Time (TAT) and Customer Compensation for Failed Transactions using Authorised Payment Systems; (c) DPSS.CO.OD.No.1325/06.11.001/2019-20 dated January 10, 2020 on Scope and Coverage of System Audit of Payment Systems; (d) </w:t>
      </w:r>
      <w:hyperlink r:id="rId46" w:tgtFrame="_blank" w:history="1">
        <w:r w:rsidRPr="00BE0E8C">
          <w:rPr>
            <w:rStyle w:val="Hyperlink"/>
          </w:rPr>
          <w:t>DPSS.CO.PD.No.1810/02.14.008/2019-20 dated March 17, 2020</w:t>
        </w:r>
      </w:hyperlink>
      <w:r w:rsidRPr="00BE0E8C">
        <w:rPr>
          <w:color w:val="000000"/>
        </w:rPr>
        <w:t> on Guidelines on Regulation of Payment Aggregators (PAs) and Payment Gateways (PGs); and (e) </w:t>
      </w:r>
      <w:hyperlink r:id="rId47" w:tgtFrame="_blank" w:history="1">
        <w:r w:rsidRPr="00BE0E8C">
          <w:rPr>
            <w:rStyle w:val="Hyperlink"/>
          </w:rPr>
          <w:t>DPSS.CO.PD.No.1897/02.14.003/2019-20 dated June 4, 2020</w:t>
        </w:r>
      </w:hyperlink>
      <w:r w:rsidRPr="00BE0E8C">
        <w:rPr>
          <w:color w:val="000000"/>
        </w:rPr>
        <w:t> on Extension of Timeline for Compliance with Various Payment System Requirements.</w:t>
      </w:r>
    </w:p>
    <w:p w:rsidR="00915DA7" w:rsidRDefault="00915DA7" w:rsidP="00915DA7">
      <w:pPr>
        <w:pStyle w:val="NormalWeb"/>
        <w:shd w:val="clear" w:color="auto" w:fill="FFFFFF"/>
        <w:spacing w:before="0" w:beforeAutospacing="0" w:after="0" w:afterAutospacing="0"/>
        <w:jc w:val="both"/>
        <w:rPr>
          <w:color w:val="000000"/>
        </w:rPr>
      </w:pPr>
    </w:p>
    <w:p w:rsidR="00915DA7" w:rsidRPr="00BE0E8C" w:rsidRDefault="00915DA7" w:rsidP="00915DA7">
      <w:pPr>
        <w:pStyle w:val="NormalWeb"/>
        <w:shd w:val="clear" w:color="auto" w:fill="FFFFFF"/>
        <w:spacing w:before="0" w:beforeAutospacing="0" w:after="0" w:afterAutospacing="0"/>
        <w:jc w:val="both"/>
        <w:rPr>
          <w:color w:val="000000"/>
        </w:rPr>
      </w:pPr>
      <w:r w:rsidRPr="00BE0E8C">
        <w:rPr>
          <w:color w:val="000000"/>
        </w:rPr>
        <w:t>2. Keeping in view the resurgence of the COVID-19 pandemic and the representations received from various bank and non-bank entities, it has been decided to extend the timeline prescribed for compliance in respect of a few areas detailed in the </w:t>
      </w:r>
      <w:hyperlink r:id="rId48" w:anchor="AN" w:history="1">
        <w:r w:rsidRPr="00BE0E8C">
          <w:rPr>
            <w:rStyle w:val="Hyperlink"/>
          </w:rPr>
          <w:t>Annexure</w:t>
        </w:r>
      </w:hyperlink>
      <w:r w:rsidRPr="00BE0E8C">
        <w:rPr>
          <w:color w:val="000000"/>
        </w:rPr>
        <w:t>.</w:t>
      </w:r>
    </w:p>
    <w:p w:rsidR="00915DA7" w:rsidRDefault="00915DA7" w:rsidP="00915DA7">
      <w:pPr>
        <w:pStyle w:val="NormalWeb"/>
        <w:shd w:val="clear" w:color="auto" w:fill="FFFFFF"/>
        <w:spacing w:before="0" w:beforeAutospacing="0" w:after="0" w:afterAutospacing="0"/>
        <w:jc w:val="both"/>
        <w:rPr>
          <w:color w:val="000000"/>
        </w:rPr>
      </w:pPr>
    </w:p>
    <w:p w:rsidR="00915DA7" w:rsidRDefault="00915DA7" w:rsidP="00915DA7">
      <w:pPr>
        <w:pStyle w:val="NormalWeb"/>
        <w:shd w:val="clear" w:color="auto" w:fill="FFFFFF"/>
        <w:spacing w:before="0" w:beforeAutospacing="0" w:after="0" w:afterAutospacing="0"/>
        <w:jc w:val="both"/>
        <w:rPr>
          <w:color w:val="000000"/>
        </w:rPr>
      </w:pPr>
      <w:r w:rsidRPr="00BE0E8C">
        <w:rPr>
          <w:color w:val="000000"/>
        </w:rPr>
        <w:t>3. This directive is issued under Section 10(2) read with Section 18 of the Payment and Settlement Systems Act, 2007 (Act 51 of 2007).</w:t>
      </w:r>
    </w:p>
    <w:p w:rsidR="00915DA7" w:rsidRPr="00BE0E8C" w:rsidRDefault="00915DA7" w:rsidP="00915DA7">
      <w:pPr>
        <w:pStyle w:val="NormalWeb"/>
        <w:shd w:val="clear" w:color="auto" w:fill="FFFFFF"/>
        <w:spacing w:before="0" w:beforeAutospacing="0" w:after="0" w:afterAutospacing="0"/>
        <w:jc w:val="both"/>
        <w:rPr>
          <w:color w:val="000000"/>
        </w:rPr>
      </w:pPr>
    </w:p>
    <w:p w:rsidR="00915DA7" w:rsidRDefault="00915DA7" w:rsidP="00915DA7">
      <w:pPr>
        <w:pStyle w:val="head"/>
        <w:shd w:val="clear" w:color="auto" w:fill="FFFFFF"/>
        <w:spacing w:before="0" w:beforeAutospacing="0" w:after="0" w:afterAutospacing="0"/>
        <w:jc w:val="center"/>
        <w:rPr>
          <w:b/>
          <w:bCs/>
          <w:color w:val="000000"/>
        </w:rPr>
      </w:pPr>
      <w:r w:rsidRPr="00BE0E8C">
        <w:rPr>
          <w:b/>
          <w:bCs/>
          <w:color w:val="000000"/>
        </w:rPr>
        <w:t xml:space="preserve">Annexure </w:t>
      </w:r>
    </w:p>
    <w:p w:rsidR="00915DA7" w:rsidRPr="00BE0E8C" w:rsidRDefault="00915DA7" w:rsidP="00915DA7">
      <w:pPr>
        <w:pStyle w:val="head"/>
        <w:shd w:val="clear" w:color="auto" w:fill="FFFFFF"/>
        <w:spacing w:before="0" w:beforeAutospacing="0" w:after="0" w:afterAutospacing="0"/>
        <w:jc w:val="center"/>
        <w:rPr>
          <w:b/>
          <w:bCs/>
          <w:color w:val="000000"/>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4532"/>
        <w:gridCol w:w="2043"/>
        <w:gridCol w:w="1865"/>
      </w:tblGrid>
      <w:tr w:rsidR="00915DA7" w:rsidRPr="00BE0E8C" w:rsidTr="00B02BBD">
        <w:trPr>
          <w:jc w:val="center"/>
        </w:trPr>
        <w:tc>
          <w:tcPr>
            <w:tcW w:w="249" w:type="pct"/>
            <w:tcMar>
              <w:top w:w="0" w:type="dxa"/>
              <w:left w:w="45" w:type="dxa"/>
              <w:bottom w:w="0" w:type="dxa"/>
              <w:right w:w="45" w:type="dxa"/>
            </w:tcMar>
            <w:vAlign w:val="center"/>
            <w:hideMark/>
          </w:tcPr>
          <w:p w:rsidR="00915DA7" w:rsidRPr="00BE0E8C" w:rsidRDefault="00915DA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SN</w:t>
            </w:r>
          </w:p>
        </w:tc>
        <w:tc>
          <w:tcPr>
            <w:tcW w:w="2551" w:type="pct"/>
            <w:tcMar>
              <w:top w:w="0" w:type="dxa"/>
              <w:left w:w="45" w:type="dxa"/>
              <w:bottom w:w="0" w:type="dxa"/>
              <w:right w:w="45" w:type="dxa"/>
            </w:tcMar>
            <w:vAlign w:val="center"/>
            <w:hideMark/>
          </w:tcPr>
          <w:p w:rsidR="00915DA7" w:rsidRPr="00BE0E8C" w:rsidRDefault="00915DA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Instruction / Circular</w:t>
            </w:r>
          </w:p>
        </w:tc>
        <w:tc>
          <w:tcPr>
            <w:tcW w:w="1150" w:type="pct"/>
            <w:tcMar>
              <w:top w:w="0" w:type="dxa"/>
              <w:left w:w="45" w:type="dxa"/>
              <w:bottom w:w="0" w:type="dxa"/>
              <w:right w:w="45" w:type="dxa"/>
            </w:tcMar>
            <w:vAlign w:val="center"/>
            <w:hideMark/>
          </w:tcPr>
          <w:p w:rsidR="00915DA7" w:rsidRPr="00BE0E8C" w:rsidRDefault="00915DA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Present Timeline</w:t>
            </w:r>
          </w:p>
        </w:tc>
        <w:tc>
          <w:tcPr>
            <w:tcW w:w="1050" w:type="pct"/>
            <w:tcMar>
              <w:top w:w="0" w:type="dxa"/>
              <w:left w:w="45" w:type="dxa"/>
              <w:bottom w:w="0" w:type="dxa"/>
              <w:right w:w="45" w:type="dxa"/>
            </w:tcMar>
            <w:vAlign w:val="center"/>
            <w:hideMark/>
          </w:tcPr>
          <w:p w:rsidR="00915DA7" w:rsidRPr="00BE0E8C" w:rsidRDefault="00915DA7"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Revised Timeline</w:t>
            </w:r>
          </w:p>
        </w:tc>
      </w:tr>
      <w:tr w:rsidR="00915DA7" w:rsidRPr="00BE0E8C" w:rsidTr="00B02BBD">
        <w:trPr>
          <w:jc w:val="center"/>
        </w:trPr>
        <w:tc>
          <w:tcPr>
            <w:tcW w:w="0" w:type="auto"/>
            <w:tcMar>
              <w:top w:w="0" w:type="dxa"/>
              <w:left w:w="45" w:type="dxa"/>
              <w:bottom w:w="0" w:type="dxa"/>
              <w:right w:w="45" w:type="dxa"/>
            </w:tcMar>
            <w:hideMark/>
          </w:tcPr>
          <w:p w:rsidR="00915DA7" w:rsidRPr="00BE0E8C" w:rsidRDefault="00915DA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All existing non-bank PPI issuers (at the time of issuance of PPI-MD) to comply with the minimum positive net-worth requirement of Rs.15 crore for the financial position as on March 31, 2020 (audited balance sheet).</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March 31, 2021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Financial position as on September 30, 2021</w:t>
            </w:r>
          </w:p>
        </w:tc>
      </w:tr>
      <w:tr w:rsidR="00915DA7" w:rsidRPr="00BE0E8C" w:rsidTr="00B02BBD">
        <w:trPr>
          <w:jc w:val="center"/>
        </w:trPr>
        <w:tc>
          <w:tcPr>
            <w:tcW w:w="0" w:type="auto"/>
            <w:tcMar>
              <w:top w:w="0" w:type="dxa"/>
              <w:left w:w="45" w:type="dxa"/>
              <w:bottom w:w="0" w:type="dxa"/>
              <w:right w:w="45" w:type="dxa"/>
            </w:tcMar>
            <w:hideMark/>
          </w:tcPr>
          <w:p w:rsidR="00915DA7" w:rsidRPr="00BE0E8C" w:rsidRDefault="00915DA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Harmonisation of TAT and customer compensation for failed transactions using authorised Payment Systems – “Calendar days” to be read as “Working days”.</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until December 31, 2020 (Calendar days from January 1, 2021)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Working days – Prospective – Until September 30, 2021</w:t>
            </w:r>
          </w:p>
        </w:tc>
      </w:tr>
      <w:tr w:rsidR="00915DA7" w:rsidRPr="00BE0E8C" w:rsidTr="00B02BBD">
        <w:trPr>
          <w:jc w:val="center"/>
        </w:trPr>
        <w:tc>
          <w:tcPr>
            <w:tcW w:w="0" w:type="auto"/>
            <w:tcMar>
              <w:top w:w="0" w:type="dxa"/>
              <w:left w:w="45" w:type="dxa"/>
              <w:bottom w:w="0" w:type="dxa"/>
              <w:right w:w="45" w:type="dxa"/>
            </w:tcMar>
            <w:hideMark/>
          </w:tcPr>
          <w:p w:rsidR="00915DA7" w:rsidRPr="00BE0E8C" w:rsidRDefault="00915DA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Authorised Payment System Operators (PSOs) are required to furnish System Audit Report conducted by CERT-IN empanelled auditors or a Certified Information Systems Auditor registered with Information Systems Audit and Control Association or by a holder of a Diploma in Information System Audit qualification of the Institute of Chartered Accountants of India, on an annual basis within two months of close of their respective financial year.</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May 31, 2021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r w:rsidR="00915DA7" w:rsidRPr="00BE0E8C" w:rsidTr="00B02BBD">
        <w:trPr>
          <w:jc w:val="center"/>
        </w:trPr>
        <w:tc>
          <w:tcPr>
            <w:tcW w:w="0" w:type="auto"/>
            <w:tcMar>
              <w:top w:w="0" w:type="dxa"/>
              <w:left w:w="45" w:type="dxa"/>
              <w:bottom w:w="0" w:type="dxa"/>
              <w:right w:w="45" w:type="dxa"/>
            </w:tcMar>
            <w:hideMark/>
          </w:tcPr>
          <w:p w:rsidR="00915DA7" w:rsidRPr="00BE0E8C" w:rsidRDefault="00915DA7"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lastRenderedPageBreak/>
              <w:t>4.</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Existing non-bank entities offering PA services shall apply for authorisation on or before June 30, 2021.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June 30, 2021</w:t>
            </w:r>
          </w:p>
        </w:tc>
        <w:tc>
          <w:tcPr>
            <w:tcW w:w="0" w:type="auto"/>
            <w:tcMar>
              <w:top w:w="0" w:type="dxa"/>
              <w:left w:w="45" w:type="dxa"/>
              <w:bottom w:w="0" w:type="dxa"/>
              <w:right w:w="45" w:type="dxa"/>
            </w:tcMar>
            <w:hideMark/>
          </w:tcPr>
          <w:p w:rsidR="00915DA7" w:rsidRPr="00BE0E8C" w:rsidRDefault="00915DA7"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By September 30, 2021*</w:t>
            </w:r>
          </w:p>
        </w:tc>
      </w:tr>
    </w:tbl>
    <w:p w:rsidR="00915DA7" w:rsidRDefault="00915DA7" w:rsidP="00915DA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 Extension provided vide </w:t>
      </w:r>
      <w:hyperlink r:id="rId49" w:tgtFrame="_blank" w:history="1">
        <w:r w:rsidRPr="00BE0E8C">
          <w:rPr>
            <w:rStyle w:val="Hyperlink"/>
          </w:rPr>
          <w:t>circular CO.DPSS.POLC.No.S33/02-14-008/2020-2021 dated March 31, 2021</w:t>
        </w:r>
      </w:hyperlink>
      <w:r w:rsidRPr="00BE0E8C">
        <w:rPr>
          <w:color w:val="000000"/>
        </w:rPr>
        <w:t> to enable payment system providers and participants to put in place workable solutions to comply with the provisions of Paragraphs 7.4 and 10.4 of the </w:t>
      </w:r>
      <w:hyperlink r:id="rId50" w:tgtFrame="_blank" w:history="1">
        <w:r w:rsidRPr="00BE0E8C">
          <w:rPr>
            <w:rStyle w:val="Hyperlink"/>
          </w:rPr>
          <w:t>circular dated March 17, 2020</w:t>
        </w:r>
      </w:hyperlink>
      <w:r w:rsidRPr="00BE0E8C">
        <w:rPr>
          <w:color w:val="000000"/>
        </w:rPr>
        <w:t> will not be impacted.</w:t>
      </w:r>
    </w:p>
    <w:p w:rsidR="00915DA7" w:rsidRPr="00BE0E8C" w:rsidRDefault="00915DA7" w:rsidP="00915DA7">
      <w:pPr>
        <w:pStyle w:val="NormalWeb"/>
        <w:pBdr>
          <w:bottom w:val="single" w:sz="12" w:space="1" w:color="auto"/>
        </w:pBdr>
        <w:shd w:val="clear" w:color="auto" w:fill="FFFFFF"/>
        <w:spacing w:before="0" w:beforeAutospacing="0" w:after="0" w:afterAutospacing="0"/>
        <w:jc w:val="both"/>
        <w:rPr>
          <w:color w:val="000000"/>
        </w:rPr>
      </w:pPr>
    </w:p>
    <w:p w:rsidR="00BF2475" w:rsidRDefault="00372F67" w:rsidP="00BF2475">
      <w:pPr>
        <w:pStyle w:val="NormalWeb"/>
        <w:shd w:val="clear" w:color="auto" w:fill="FFFFFF"/>
        <w:spacing w:before="0" w:beforeAutospacing="0" w:after="0" w:afterAutospacing="0"/>
        <w:jc w:val="both"/>
        <w:rPr>
          <w:b/>
          <w:bCs/>
          <w:color w:val="000000"/>
        </w:rPr>
      </w:pPr>
      <w:r>
        <w:rPr>
          <w:b/>
          <w:bCs/>
          <w:color w:val="000000"/>
        </w:rPr>
        <w:t xml:space="preserve">11. </w:t>
      </w:r>
      <w:r w:rsidR="00BF2475" w:rsidRPr="00BE0E8C">
        <w:rPr>
          <w:b/>
          <w:bCs/>
          <w:color w:val="000000"/>
        </w:rPr>
        <w:t>Prepaid Payment Instruments (PPIs) – (i) Mandating Interoperability; (ii) Increasing the Limit to ₹2 lakh for Full-KYC PPIs; and (iii) Permitting Cash Withdrawal from Full-KYC PPIs of Non-Bank PPI Issuers</w:t>
      </w:r>
    </w:p>
    <w:p w:rsidR="00BF2475" w:rsidRPr="00BE0E8C" w:rsidRDefault="00BF2475" w:rsidP="00BF2475">
      <w:pPr>
        <w:pStyle w:val="NormalWeb"/>
        <w:shd w:val="clear" w:color="auto" w:fill="FFFFFF"/>
        <w:spacing w:before="0" w:beforeAutospacing="0" w:after="0" w:afterAutospacing="0"/>
        <w:jc w:val="both"/>
        <w:rPr>
          <w:b/>
          <w:bCs/>
          <w:color w:val="000000"/>
        </w:rPr>
      </w:pPr>
    </w:p>
    <w:p w:rsidR="00BF2475" w:rsidRPr="00BE0E8C" w:rsidRDefault="00BF2475" w:rsidP="00BF2475">
      <w:pPr>
        <w:pStyle w:val="NormalWeb"/>
        <w:shd w:val="clear" w:color="auto" w:fill="FFFFFF"/>
        <w:spacing w:before="0" w:beforeAutospacing="0" w:after="0" w:afterAutospacing="0"/>
        <w:jc w:val="both"/>
        <w:rPr>
          <w:b/>
          <w:color w:val="000000"/>
        </w:rPr>
      </w:pPr>
      <w:r w:rsidRPr="00BE0E8C">
        <w:rPr>
          <w:b/>
          <w:color w:val="000000"/>
        </w:rPr>
        <w:t xml:space="preserve">RBI/2021-22/40 DPSS.CO.PD.No.S-99/02.14.006/2021-22 </w:t>
      </w:r>
      <w:r w:rsidRPr="00BE0E8C">
        <w:rPr>
          <w:b/>
          <w:color w:val="000000"/>
        </w:rPr>
        <w:tab/>
      </w:r>
      <w:r w:rsidRPr="00BE0E8C">
        <w:rPr>
          <w:b/>
          <w:color w:val="000000"/>
        </w:rPr>
        <w:tab/>
        <w:t>May 19, 2021</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i/>
          <w:color w:val="000000"/>
        </w:rPr>
      </w:pPr>
      <w:r w:rsidRPr="00BE0E8C">
        <w:rPr>
          <w:i/>
          <w:color w:val="000000"/>
        </w:rPr>
        <w:t>All Bank and Non-Bank Prepaid Payment Instrument Issuers, System Providers and System Participants</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This has reference to paragraphs 10 and 11 of the </w:t>
      </w:r>
      <w:hyperlink r:id="rId51" w:tgtFrame="_blank" w:history="1">
        <w:r w:rsidRPr="00BE0E8C">
          <w:rPr>
            <w:rStyle w:val="Hyperlink"/>
          </w:rPr>
          <w:t>Statement on Developmental and Regulatory Policies dated April 07, 2021</w:t>
        </w:r>
      </w:hyperlink>
      <w:r w:rsidRPr="00BE0E8C">
        <w:rPr>
          <w:color w:val="000000"/>
        </w:rPr>
        <w:t> wherein it was announced that (a) PPI interoperability shall be made mandatory, (b) the limit for full-KYC PPIs shall be increased from ₹1 lakh to ₹2 lakh, and (c) cash withdrawal shall be permitted using full-KYC PPIs of non-bank PPI issuers.</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 A reference is also invited to the </w:t>
      </w:r>
      <w:hyperlink r:id="rId52" w:tgtFrame="_blank" w:history="1">
        <w:r w:rsidRPr="00BE0E8C">
          <w:rPr>
            <w:rStyle w:val="Hyperlink"/>
          </w:rPr>
          <w:t>Master Direction DPSS.CO.PD.No.1164/02.14.006/2017-18 dated October 11, 2017</w:t>
        </w:r>
      </w:hyperlink>
      <w:r w:rsidRPr="00BE0E8C">
        <w:rPr>
          <w:color w:val="000000"/>
        </w:rPr>
        <w:t> on Issuance and Operation of PPIs (as amended from time to time) and </w:t>
      </w:r>
      <w:hyperlink r:id="rId53" w:tgtFrame="_blank" w:history="1">
        <w:r w:rsidRPr="00BE0E8C">
          <w:rPr>
            <w:rStyle w:val="Hyperlink"/>
          </w:rPr>
          <w:t>Circular DPSS.CO.PD.No.808/02.14.006/2018-19 dated October 16, 2018</w:t>
        </w:r>
      </w:hyperlink>
      <w:r w:rsidRPr="00BE0E8C">
        <w:rPr>
          <w:color w:val="000000"/>
        </w:rPr>
        <w:t> on PPIs – Guidelines for Interoperability.</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3. Accordingly, the following are advised –</w:t>
      </w:r>
    </w:p>
    <w:p w:rsidR="00BF2475" w:rsidRPr="00BE0E8C" w:rsidRDefault="00BF2475" w:rsidP="00BF2475">
      <w:pPr>
        <w:pStyle w:val="NormalWeb"/>
        <w:numPr>
          <w:ilvl w:val="0"/>
          <w:numId w:val="11"/>
        </w:numPr>
        <w:shd w:val="clear" w:color="auto" w:fill="FFFFFF"/>
        <w:spacing w:before="0" w:beforeAutospacing="0" w:after="0" w:afterAutospacing="0"/>
        <w:jc w:val="both"/>
        <w:rPr>
          <w:color w:val="000000"/>
        </w:rPr>
      </w:pPr>
      <w:r w:rsidRPr="00BE0E8C">
        <w:rPr>
          <w:color w:val="000000"/>
        </w:rPr>
        <w:t>It shall be mandatory for PPI issuers to give the holders of full-KYC PPIs (KYC-compliant PPIs) interoperability through authorised card networks (for PPIs in the form of cards) and UPI (for PPIs in the form of electronic wallets);</w:t>
      </w:r>
    </w:p>
    <w:p w:rsidR="00BF2475" w:rsidRPr="00BE0E8C" w:rsidRDefault="00BF2475" w:rsidP="00BF2475">
      <w:pPr>
        <w:pStyle w:val="NormalWeb"/>
        <w:numPr>
          <w:ilvl w:val="0"/>
          <w:numId w:val="11"/>
        </w:numPr>
        <w:shd w:val="clear" w:color="auto" w:fill="FFFFFF"/>
        <w:spacing w:before="0" w:beforeAutospacing="0" w:after="0" w:afterAutospacing="0"/>
        <w:jc w:val="both"/>
        <w:rPr>
          <w:color w:val="000000"/>
        </w:rPr>
      </w:pPr>
      <w:r w:rsidRPr="00BE0E8C">
        <w:rPr>
          <w:color w:val="000000"/>
        </w:rPr>
        <w:t>Interoperability shall be mandatory on the acceptance side as well;</w:t>
      </w:r>
    </w:p>
    <w:p w:rsidR="00BF2475" w:rsidRPr="00BE0E8C" w:rsidRDefault="00BF2475" w:rsidP="00BF2475">
      <w:pPr>
        <w:pStyle w:val="NormalWeb"/>
        <w:numPr>
          <w:ilvl w:val="0"/>
          <w:numId w:val="11"/>
        </w:numPr>
        <w:shd w:val="clear" w:color="auto" w:fill="FFFFFF"/>
        <w:spacing w:before="0" w:beforeAutospacing="0" w:after="0" w:afterAutospacing="0"/>
        <w:jc w:val="both"/>
        <w:rPr>
          <w:color w:val="000000"/>
        </w:rPr>
      </w:pPr>
      <w:r w:rsidRPr="00BE0E8C">
        <w:rPr>
          <w:color w:val="000000"/>
        </w:rPr>
        <w:t>The interoperability shall be enabled by March 31, 2022; and</w:t>
      </w:r>
    </w:p>
    <w:p w:rsidR="00BF2475" w:rsidRPr="00BE0E8C" w:rsidRDefault="00BF2475" w:rsidP="00BF2475">
      <w:pPr>
        <w:pStyle w:val="NormalWeb"/>
        <w:numPr>
          <w:ilvl w:val="0"/>
          <w:numId w:val="11"/>
        </w:numPr>
        <w:shd w:val="clear" w:color="auto" w:fill="FFFFFF"/>
        <w:spacing w:before="0" w:beforeAutospacing="0" w:after="0" w:afterAutospacing="0"/>
        <w:jc w:val="both"/>
        <w:rPr>
          <w:color w:val="000000"/>
        </w:rPr>
      </w:pPr>
      <w:r w:rsidRPr="00BE0E8C">
        <w:rPr>
          <w:color w:val="000000"/>
        </w:rPr>
        <w:t>PPIs for Mass Transit Systems (PPI-MTS) shall remain exempted from interoperability while Gift PPI issuers have the option to offer interoperability.</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4. The maximum amount outstanding in respect of full-KYC PPIs (KYC-compliant PPIs) has been increased from ₹1 lakh to ₹2 lakh. All other conditions mentioned under paragraphs 9.1 (ii) and 9.2 of the </w:t>
      </w:r>
      <w:hyperlink r:id="rId54" w:tgtFrame="_blank" w:history="1">
        <w:r w:rsidRPr="00BE0E8C">
          <w:rPr>
            <w:rStyle w:val="Hyperlink"/>
          </w:rPr>
          <w:t>Master Direction on PPIs dated October 11, 2017</w:t>
        </w:r>
      </w:hyperlink>
      <w:r w:rsidRPr="00BE0E8C">
        <w:rPr>
          <w:color w:val="000000"/>
        </w:rPr>
        <w:t> shall continue to be applicable.</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5. The feature of cash withdrawal shall be permitted in respect of full-KYC PPIs issued by non-bank PPI issuers as well. The following conditions shall, however, be applicable –</w:t>
      </w:r>
    </w:p>
    <w:p w:rsidR="00BF2475" w:rsidRPr="00BE0E8C" w:rsidRDefault="00BF2475" w:rsidP="00BF2475">
      <w:pPr>
        <w:pStyle w:val="NormalWeb"/>
        <w:numPr>
          <w:ilvl w:val="0"/>
          <w:numId w:val="12"/>
        </w:numPr>
        <w:shd w:val="clear" w:color="auto" w:fill="FFFFFF"/>
        <w:spacing w:before="0" w:beforeAutospacing="0" w:after="0" w:afterAutospacing="0"/>
        <w:jc w:val="both"/>
        <w:rPr>
          <w:color w:val="000000"/>
        </w:rPr>
      </w:pPr>
      <w:r w:rsidRPr="00BE0E8C">
        <w:rPr>
          <w:color w:val="000000"/>
        </w:rPr>
        <w:t>Maximum limit of ₹2,000 per transaction with an overall limit of ₹10,000 per month per PPI;</w:t>
      </w:r>
    </w:p>
    <w:p w:rsidR="00BF2475" w:rsidRPr="00BE0E8C" w:rsidRDefault="00BF2475" w:rsidP="00BF2475">
      <w:pPr>
        <w:pStyle w:val="NormalWeb"/>
        <w:numPr>
          <w:ilvl w:val="0"/>
          <w:numId w:val="12"/>
        </w:numPr>
        <w:shd w:val="clear" w:color="auto" w:fill="FFFFFF"/>
        <w:spacing w:before="0" w:beforeAutospacing="0" w:after="0" w:afterAutospacing="0"/>
        <w:jc w:val="both"/>
        <w:rPr>
          <w:color w:val="000000"/>
        </w:rPr>
      </w:pPr>
      <w:r w:rsidRPr="00BE0E8C">
        <w:rPr>
          <w:color w:val="000000"/>
        </w:rPr>
        <w:t>All cash withdrawal transactions performed using a card / wallet, shall be authenticated by an Additional Factor of Authentication (AFA) / PIN;</w:t>
      </w:r>
    </w:p>
    <w:p w:rsidR="00BF2475" w:rsidRPr="00BE0E8C" w:rsidRDefault="00BF2475" w:rsidP="00BF2475">
      <w:pPr>
        <w:pStyle w:val="NormalWeb"/>
        <w:numPr>
          <w:ilvl w:val="0"/>
          <w:numId w:val="12"/>
        </w:numPr>
        <w:shd w:val="clear" w:color="auto" w:fill="FFFFFF"/>
        <w:spacing w:before="0" w:beforeAutospacing="0" w:after="0" w:afterAutospacing="0"/>
        <w:jc w:val="both"/>
        <w:rPr>
          <w:color w:val="000000"/>
        </w:rPr>
      </w:pPr>
      <w:r w:rsidRPr="00BE0E8C">
        <w:rPr>
          <w:color w:val="000000"/>
        </w:rPr>
        <w:lastRenderedPageBreak/>
        <w:t>Any PPI issuer offering this facility shall put in place proper customer redressal mechanisms. Complaints in this regard shall fall under the ambit of the respective ombudsmen schemes and instructions on limiting liability of customers; and</w:t>
      </w:r>
    </w:p>
    <w:p w:rsidR="00BF2475" w:rsidRPr="00BE0E8C" w:rsidRDefault="00BF2475" w:rsidP="00BF2475">
      <w:pPr>
        <w:pStyle w:val="NormalWeb"/>
        <w:numPr>
          <w:ilvl w:val="0"/>
          <w:numId w:val="12"/>
        </w:numPr>
        <w:shd w:val="clear" w:color="auto" w:fill="FFFFFF"/>
        <w:spacing w:before="0" w:beforeAutospacing="0" w:after="0" w:afterAutospacing="0"/>
        <w:jc w:val="both"/>
        <w:rPr>
          <w:color w:val="000000"/>
        </w:rPr>
      </w:pPr>
      <w:r w:rsidRPr="00BE0E8C">
        <w:rPr>
          <w:color w:val="000000"/>
        </w:rPr>
        <w:t>PPI issuers shall put in place suitable cooling period for cash withdrawal upon opening the PPIs or loading / re-loading of funds into PPIs to mitigate the risk of fraudulent use of PPIs.</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Pr>
          <w:color w:val="000000"/>
        </w:rPr>
        <w:t>6</w:t>
      </w:r>
      <w:r w:rsidRPr="00BE0E8C">
        <w:rPr>
          <w:color w:val="000000"/>
        </w:rPr>
        <w:t>. The cash withdrawal limit from Points of Sale (PoS) terminals using debit cards and open system prepaid cards issued by banks in India advised vide </w:t>
      </w:r>
      <w:hyperlink r:id="rId55" w:tgtFrame="_blank" w:history="1">
        <w:r w:rsidRPr="00BE0E8C">
          <w:rPr>
            <w:rStyle w:val="Hyperlink"/>
          </w:rPr>
          <w:t>circular DPSS.CO.PD.No.449/02.14.003/2015-16 dated August 27, 2015</w:t>
        </w:r>
      </w:hyperlink>
      <w:r w:rsidRPr="00BE0E8C">
        <w:rPr>
          <w:color w:val="000000"/>
        </w:rPr>
        <w:t> has also been rationalised to ₹2,000 per transaction within an overall monthly limit of ₹10,000 across all locations (Tier 1 to 6 centres). The requirement of submission of data to RBI mentioned at paragraph 6 of the circular has been dispensed with. All other provisions shall, however, continue to be applicable.</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Pr>
          <w:color w:val="000000"/>
        </w:rPr>
        <w:t>7</w:t>
      </w:r>
      <w:r w:rsidRPr="00BE0E8C">
        <w:rPr>
          <w:color w:val="000000"/>
        </w:rPr>
        <w:t>. The </w:t>
      </w:r>
      <w:hyperlink r:id="rId56" w:tgtFrame="_blank" w:history="1">
        <w:r w:rsidRPr="00BE0E8C">
          <w:rPr>
            <w:rStyle w:val="Hyperlink"/>
          </w:rPr>
          <w:t>Master Direction on Issuance and Operation of PPIs dated October 11, 2017</w:t>
        </w:r>
      </w:hyperlink>
      <w:r w:rsidRPr="00BE0E8C">
        <w:rPr>
          <w:color w:val="000000"/>
        </w:rPr>
        <w:t> (as amended from time to time) is being modified to reflect the above.</w:t>
      </w:r>
    </w:p>
    <w:p w:rsidR="00BF2475"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Pr>
          <w:color w:val="000000"/>
        </w:rPr>
        <w:t>8</w:t>
      </w:r>
      <w:r w:rsidRPr="00BE0E8C">
        <w:rPr>
          <w:color w:val="000000"/>
        </w:rPr>
        <w:t>. These instructions are issued under Section 18 read with Section 10(2) of the Payment and Settlement Systems Act, 2007.</w:t>
      </w:r>
    </w:p>
    <w:p w:rsidR="00BF2475" w:rsidRDefault="00BF2475" w:rsidP="00BF2475">
      <w:pPr>
        <w:pStyle w:val="NormalWeb"/>
        <w:pBdr>
          <w:bottom w:val="single" w:sz="12" w:space="1" w:color="auto"/>
        </w:pBdr>
        <w:shd w:val="clear" w:color="auto" w:fill="FFFFFF"/>
        <w:spacing w:before="0" w:beforeAutospacing="0" w:after="0" w:afterAutospacing="0"/>
        <w:jc w:val="both"/>
        <w:rPr>
          <w:bCs/>
          <w:color w:val="000000"/>
        </w:rPr>
      </w:pPr>
    </w:p>
    <w:p w:rsidR="00BF2475" w:rsidRDefault="003327B0" w:rsidP="00BF2475">
      <w:pPr>
        <w:pStyle w:val="NormalWeb"/>
        <w:pBdr>
          <w:bottom w:val="single" w:sz="12" w:space="1" w:color="auto"/>
        </w:pBdr>
        <w:shd w:val="clear" w:color="auto" w:fill="FFFFFF"/>
        <w:spacing w:before="0" w:beforeAutospacing="0" w:after="0" w:afterAutospacing="0"/>
        <w:jc w:val="both"/>
        <w:rPr>
          <w:rStyle w:val="Hyperlink"/>
          <w:bCs/>
        </w:rPr>
      </w:pPr>
      <w:hyperlink r:id="rId57" w:history="1">
        <w:r w:rsidR="00BF2475" w:rsidRPr="00BE0E8C">
          <w:rPr>
            <w:rStyle w:val="Hyperlink"/>
            <w:bCs/>
          </w:rPr>
          <w:t>https://www.rbi.org.in/Scripts/NotificationUser.aspx?Id=12094&amp;Mode=0</w:t>
        </w:r>
      </w:hyperlink>
    </w:p>
    <w:p w:rsidR="00BF2475" w:rsidRPr="00BE0E8C" w:rsidRDefault="00BF2475" w:rsidP="00BF2475">
      <w:pPr>
        <w:pStyle w:val="NormalWeb"/>
        <w:pBdr>
          <w:bottom w:val="single" w:sz="12" w:space="1" w:color="auto"/>
        </w:pBdr>
        <w:shd w:val="clear" w:color="auto" w:fill="FFFFFF"/>
        <w:spacing w:before="0" w:beforeAutospacing="0" w:after="0" w:afterAutospacing="0"/>
        <w:jc w:val="both"/>
        <w:rPr>
          <w:bCs/>
          <w:color w:val="000000"/>
        </w:rPr>
      </w:pPr>
    </w:p>
    <w:p w:rsidR="00BF2475" w:rsidRPr="00BE0E8C" w:rsidRDefault="00372F67" w:rsidP="00BF2475">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w:t>
      </w:r>
      <w:r w:rsidR="00BF2475" w:rsidRPr="00BE0E8C">
        <w:rPr>
          <w:rFonts w:ascii="Times New Roman" w:hAnsi="Times New Roman" w:cs="Times New Roman"/>
          <w:b/>
          <w:color w:val="000000"/>
          <w:sz w:val="24"/>
          <w:szCs w:val="24"/>
        </w:rPr>
        <w:t>Resolution Framework 2.0 – Resolution of Covid-19 related stress of Micro, Small and Medium Enterprises (MSMEs)</w:t>
      </w:r>
    </w:p>
    <w:p w:rsidR="00BF2475" w:rsidRPr="00BE0E8C" w:rsidRDefault="00BF2475" w:rsidP="00BF2475">
      <w:pPr>
        <w:spacing w:after="0" w:line="240" w:lineRule="auto"/>
        <w:jc w:val="both"/>
        <w:rPr>
          <w:rFonts w:ascii="Times New Roman" w:hAnsi="Times New Roman" w:cs="Times New Roman"/>
          <w:b/>
          <w:color w:val="000000"/>
          <w:sz w:val="24"/>
          <w:szCs w:val="24"/>
        </w:rPr>
      </w:pPr>
    </w:p>
    <w:p w:rsidR="00BF2475" w:rsidRPr="00BE0E8C" w:rsidRDefault="00BF2475" w:rsidP="00BF2475">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BF2475" w:rsidRPr="00BE0E8C" w:rsidRDefault="00BF2475" w:rsidP="00BF2475">
      <w:pPr>
        <w:spacing w:after="0" w:line="240" w:lineRule="auto"/>
        <w:jc w:val="both"/>
        <w:rPr>
          <w:rFonts w:ascii="Times New Roman" w:hAnsi="Times New Roman" w:cs="Times New Roman"/>
          <w:b/>
          <w:color w:val="000000"/>
          <w:sz w:val="24"/>
          <w:szCs w:val="24"/>
        </w:rPr>
      </w:pPr>
    </w:p>
    <w:p w:rsidR="00BF2475" w:rsidRPr="00BE0E8C" w:rsidRDefault="00BF2475" w:rsidP="00BF2475">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BF2475" w:rsidRPr="00BE0E8C" w:rsidRDefault="00BF2475" w:rsidP="00BF2475">
      <w:pPr>
        <w:spacing w:after="0" w:line="240" w:lineRule="auto"/>
        <w:jc w:val="both"/>
        <w:rPr>
          <w:rFonts w:ascii="Times New Roman" w:hAnsi="Times New Roman" w:cs="Times New Roman"/>
          <w:color w:val="000000"/>
          <w:sz w:val="24"/>
          <w:szCs w:val="24"/>
          <w:shd w:val="clear" w:color="auto" w:fill="FFFFFF"/>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Please refer to the </w:t>
      </w:r>
      <w:hyperlink r:id="rId58" w:tgtFrame="_blank" w:history="1">
        <w:r w:rsidRPr="00BE0E8C">
          <w:rPr>
            <w:rStyle w:val="Hyperlink"/>
          </w:rPr>
          <w:t>circular DOR.No.BP.BC/4/21.04.048/2020-21 dated August 6, 2020</w:t>
        </w:r>
      </w:hyperlink>
      <w:r w:rsidRPr="00BE0E8C">
        <w:rPr>
          <w:color w:val="000000"/>
        </w:rPr>
        <w:t> on restructuring of advances to the MSME borrowers.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(iii) The aggregate exposure, including non-fund based facilities, of all lending institutions to the borrower does not exceed ₹25 crore as on March 31, 2021.</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lastRenderedPageBreak/>
        <w:t>(v) The borrower’s account was not restructured in terms of the </w:t>
      </w:r>
      <w:hyperlink r:id="rId59" w:tgtFrame="_blank" w:history="1">
        <w:r w:rsidRPr="00BE0E8C">
          <w:rPr>
            <w:rStyle w:val="Hyperlink"/>
          </w:rPr>
          <w:t>circulars DOR.No.BP.BC/4/21.04.048/2020-21 dated August 6, 2020</w:t>
        </w:r>
      </w:hyperlink>
      <w:r w:rsidRPr="00BE0E8C">
        <w:rPr>
          <w:color w:val="000000"/>
        </w:rPr>
        <w:t>; </w:t>
      </w:r>
      <w:hyperlink r:id="rId60" w:tgtFrame="_blank" w:history="1">
        <w:r w:rsidRPr="00BE0E8C">
          <w:rPr>
            <w:rStyle w:val="Hyperlink"/>
          </w:rPr>
          <w:t>DOR.No.BP.BC.34/21.04.048/2019-20 dated February 11, 2020</w:t>
        </w:r>
      </w:hyperlink>
      <w:r w:rsidRPr="00BE0E8C">
        <w:rPr>
          <w:color w:val="000000"/>
        </w:rPr>
        <w:t>; or </w:t>
      </w:r>
      <w:hyperlink r:id="rId61" w:tgtFrame="_blank" w:history="1">
        <w:r w:rsidRPr="00BE0E8C">
          <w:rPr>
            <w:rStyle w:val="Hyperlink"/>
          </w:rPr>
          <w:t>DBR.No.BP.BC.18/21.04.048/2018-19 dated January 1, 2019</w:t>
        </w:r>
      </w:hyperlink>
      <w:r w:rsidRPr="00BE0E8C">
        <w:rPr>
          <w:color w:val="000000"/>
        </w:rPr>
        <w:t> (collectively referred to as MSME restructuring circulars).</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exposure to a borrower independent of invocation decisions taken by other lending institutions, if any, having exposure to the same borrower.</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(viii) If the borrower is not registered in the Udyam Registration portal, such registration shall be required to be completed before the date of implementation of the restructuring plan for the plan to be treated as implemented.</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62" w:tgtFrame="_blank" w:history="1">
        <w:r w:rsidRPr="00BE0E8C">
          <w:rPr>
            <w:rStyle w:val="Hyperlink"/>
          </w:rPr>
          <w:t>circular DOR.No.BP.BC/4/21.04.048/2020-21 dated August 6, 2020</w:t>
        </w:r>
      </w:hyperlink>
      <w:r w:rsidRPr="00BE0E8C">
        <w:rPr>
          <w:color w:val="000000"/>
        </w:rPr>
        <w:t> shall remain applicable.</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4. In respect of accounts of borrowers which were restructured in terms of the MSME restructuring circulars,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BF2475" w:rsidRPr="00BE0E8C" w:rsidRDefault="00BF2475" w:rsidP="00BF2475">
      <w:pPr>
        <w:pStyle w:val="NormalWeb"/>
        <w:shd w:val="clear" w:color="auto" w:fill="FFFFFF"/>
        <w:spacing w:before="0" w:beforeAutospacing="0" w:after="0" w:afterAutospacing="0"/>
        <w:jc w:val="both"/>
        <w:rPr>
          <w:color w:val="000000"/>
        </w:rPr>
      </w:pPr>
    </w:p>
    <w:p w:rsidR="00521D2C" w:rsidRDefault="003327B0" w:rsidP="00BF2475">
      <w:pPr>
        <w:pStyle w:val="head"/>
        <w:shd w:val="clear" w:color="auto" w:fill="FFFFFF"/>
        <w:spacing w:before="0" w:beforeAutospacing="0" w:after="0" w:afterAutospacing="0"/>
        <w:jc w:val="both"/>
        <w:rPr>
          <w:rStyle w:val="Hyperlink"/>
        </w:rPr>
      </w:pPr>
      <w:hyperlink r:id="rId63" w:history="1">
        <w:r w:rsidR="00BF2475" w:rsidRPr="00BE0E8C">
          <w:rPr>
            <w:rStyle w:val="Hyperlink"/>
          </w:rPr>
          <w:t>https://www.rbi.org.in/Scripts/NotificationUser.aspx?Id=12086&amp;Mode=0</w:t>
        </w:r>
      </w:hyperlink>
    </w:p>
    <w:p w:rsidR="00BF2475" w:rsidRDefault="00BF2475" w:rsidP="00BF2475">
      <w:pPr>
        <w:pStyle w:val="head"/>
        <w:pBdr>
          <w:bottom w:val="single" w:sz="12" w:space="1" w:color="auto"/>
        </w:pBdr>
        <w:shd w:val="clear" w:color="auto" w:fill="FFFFFF"/>
        <w:spacing w:before="0" w:beforeAutospacing="0" w:after="0" w:afterAutospacing="0"/>
        <w:jc w:val="both"/>
        <w:rPr>
          <w:rStyle w:val="Hyperlink"/>
        </w:rPr>
      </w:pPr>
    </w:p>
    <w:p w:rsidR="00BF2475" w:rsidRPr="00BE0E8C" w:rsidRDefault="00372F67" w:rsidP="00BF2475">
      <w:pPr>
        <w:pStyle w:val="NormalWeb"/>
        <w:shd w:val="clear" w:color="auto" w:fill="FFFFFF"/>
        <w:spacing w:before="0" w:beforeAutospacing="0" w:after="0" w:afterAutospacing="0"/>
        <w:jc w:val="both"/>
        <w:rPr>
          <w:b/>
          <w:color w:val="000000"/>
        </w:rPr>
      </w:pPr>
      <w:r>
        <w:rPr>
          <w:b/>
          <w:color w:val="000000"/>
        </w:rPr>
        <w:t xml:space="preserve">13. </w:t>
      </w:r>
      <w:r w:rsidR="00BF2475" w:rsidRPr="00BE0E8C">
        <w:rPr>
          <w:b/>
          <w:color w:val="000000"/>
        </w:rPr>
        <w:t>Resolution Framework – 2.0: Resolution of Covid-19 related stress of Individuals and Small Businesses</w:t>
      </w:r>
    </w:p>
    <w:p w:rsidR="00BF2475" w:rsidRPr="00BE0E8C" w:rsidRDefault="00BF2475" w:rsidP="00BF2475">
      <w:pPr>
        <w:pStyle w:val="NormalWeb"/>
        <w:shd w:val="clear" w:color="auto" w:fill="FFFFFF"/>
        <w:spacing w:before="0" w:beforeAutospacing="0" w:after="0" w:afterAutospacing="0"/>
        <w:jc w:val="both"/>
        <w:rPr>
          <w:b/>
          <w:color w:val="000000"/>
        </w:rPr>
      </w:pPr>
    </w:p>
    <w:p w:rsidR="00BF2475" w:rsidRPr="00BE0E8C" w:rsidRDefault="00BF2475" w:rsidP="00BF2475">
      <w:pPr>
        <w:pStyle w:val="NormalWeb"/>
        <w:shd w:val="clear" w:color="auto" w:fill="FFFFFF"/>
        <w:spacing w:before="0" w:beforeAutospacing="0" w:after="0" w:afterAutospacing="0"/>
        <w:jc w:val="both"/>
        <w:rPr>
          <w:b/>
          <w:color w:val="000000"/>
        </w:rPr>
      </w:pPr>
      <w:r w:rsidRPr="00BE0E8C">
        <w:rPr>
          <w:b/>
          <w:color w:val="000000"/>
        </w:rPr>
        <w:t>RBI/2021-22/31 DOR.STR.REC.11/21.04.048/2021-22</w:t>
      </w:r>
      <w:r w:rsidRPr="00BE0E8C">
        <w:rPr>
          <w:b/>
          <w:color w:val="000000"/>
        </w:rPr>
        <w:tab/>
      </w:r>
      <w:r w:rsidRPr="00BE0E8C">
        <w:rPr>
          <w:b/>
          <w:color w:val="000000"/>
        </w:rPr>
        <w:tab/>
      </w:r>
      <w:r w:rsidRPr="00BE0E8C">
        <w:rPr>
          <w:b/>
          <w:color w:val="000000"/>
        </w:rPr>
        <w:tab/>
        <w:t>May 5, 2021</w:t>
      </w:r>
    </w:p>
    <w:p w:rsidR="00BF2475" w:rsidRPr="00BE0E8C" w:rsidRDefault="00BF2475" w:rsidP="00BF2475">
      <w:pPr>
        <w:pStyle w:val="NormalWeb"/>
        <w:shd w:val="clear" w:color="auto" w:fill="FFFFFF"/>
        <w:spacing w:before="0" w:beforeAutospacing="0" w:after="0" w:afterAutospacing="0"/>
        <w:jc w:val="both"/>
        <w:rPr>
          <w:i/>
          <w:color w:val="000000"/>
          <w:shd w:val="clear" w:color="auto" w:fill="FFFFFF"/>
        </w:rPr>
      </w:pPr>
    </w:p>
    <w:p w:rsidR="00BF2475" w:rsidRPr="00BE0E8C" w:rsidRDefault="00BF2475" w:rsidP="00BF2475">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The Reserve Bank of India vide its circular DOR.No.BP.BC/3/21.04.048/2020-21 dated August 6, 2020 on “Resolution Framework for COVID-19-related Stress” (“Resolution Framework – 1.0”) had provided a window to enable lenders to implement a resolution plan in respect of eligible corporate exposures without change in ownership, and personal loans, while classifying such exposures as Standard, subject to specified conditions.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 The resurgence of Covid-19 pandemic in India in the recent weeks and the consequent containment measures to check the spread of the pandemic may impact the recovery process and create new uncertainties. With the objective of alleviating the potential stress to individual borrowers and small businesses, the following set of measures are being announced. These set of measures are broadly in line with the contours of the Resolution Framework - 1.0, with suitable modifications.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3. Part A of this circular pertains to requirements specific to resolution of advances to individuals and small businesses and Part B pertains to working capital support for: (i) individuals who have availed of loans for business purposes, and (ii) small businesses, where resolution plans were implemented previously. Part C lists the disclosure requirements for the lending institutions with respect to the resolution plans implemented under this window.</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A. Resolution of advances to individuals and small businesses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4. Lending institutions are permitted to offer a limited window to individual borrowers and small businesses to implement resolution plans in respect of their credit exposures while classifying the same as Standard upon implementation of the resolution plan subject to the conditions specified hereafter.</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5. The following borrowers shall be eligible for the window of resolution to be invoked by the lending institutions: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Individuals who have availed of personal loans (as defined in the Circular DBR.No.BP.BC.99/08.13.100/2017-18 dated January 4, 2018 on “XBRL Returns – Harmonization of Banking Statistics”), excluding the credit facilities provided by lending institutions to their own personnel/staff.</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lastRenderedPageBreak/>
        <w:t>Individuals who have availed of loans and advances for business purposes and to whom the lending institutions have aggregate exposure of not more than Rs.25 crore as on March 31, 2021.</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Small businesses, including those engaged in retail and wholesale trade, other than those classified as micro, small and medium enterprises as on March 31, 2021, and to whom the lending institutions have aggregate exposure of not more than Rs.25 crore as on March 31, 2021.</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Provided that the borrower accounts / credit facilities shall not belong to the categories listed in sub-clauses (a) to (e) of the Clause 2 of the Annex to the Resolution Framework 1.0, read with the response to Sl. No. 2 of FAQs on Resolution Framework for Covid-19 related stress (Revised on December 12, 2020).</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Provided further that the borrower accounts should not have availed of any resolution in terms of the Resolution Framework – 1.0 subject to the special exemption mentioned at Clause 22 below.</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Provided further that the credit facilities / investment exposure to the borrower was classified as Standard by the lending institution as on March 31, 2021.</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6. Any resolution plan implemented in breach of the stipulations of this circular shall be fully governed by the Prudential Framework for Resolution of Stressed Assets issued on June 7, 2019 (“Prudential Framework”), or the relevant instructions as applicable to specific category of lending institutions where the Prudential Framework is not applicable.</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Invocation of resolution process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7. The lending institutions shall frame Board approved policies at the earliest (but not later than four weeks from the date of this Circular), pertaining to implementation of viable resolution plans for eligible borrowers under this framework, ensuring that the resolution under this facility is provided only to the borrowers having stress on account of Covid-19. The Board approved policy shall, inter alia, detail the eligibility of borrowers in respect of whom the lending institutions shall be willing to consider the resolution, and shall lay down the due diligence considerations to be followed by the lending institutions to establish the necessity of implementing a resolution plan in respect of the concerned borrower as well as the system for redressing the grievance of borrowers who request for resolution under the window and / or are undergoing resolution under this window. The Board approved policy shall be sufficiently publicised and should be available on the website of the lending institutions in an easily accessible manner.</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 xml:space="preserve">8. The resolution process under this window shall be treated as invoked when the lending institution and the borrower agree to proceed with the efforts towards finalising a resolution plan to be implemented in respect of such borrower. In respect of applications received by the lending institutions from their customers for invoking resolution process under this window, the assessment of eligibility for resolution as per the instructions contained in this circular and the Board approved policy put in place as above shall be completed, and the decision on the application shall be communicated in writing to the applicant by the lending institutions within 30 days of receipt of such applications. In order to optimise the processing time, lending institutions may </w:t>
      </w:r>
      <w:r w:rsidRPr="00BE0E8C">
        <w:rPr>
          <w:color w:val="000000"/>
        </w:rPr>
        <w:lastRenderedPageBreak/>
        <w:t>prepare product-level standardized templates as part of their Board approved policies, as above, for resolution under this window.</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9. The decision to invoke the resolution process under this window shall be taken by each lending institution having exposure to a borrower independent of invocation decisions taken by other lending institutions, if any, having exposure to the same borrower.</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10. The last date for invocation of resolution permitted under this window is September 30, 2021.</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Permitted features of resolution plans and implementation</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11. The resolution plans implemented under this window may inter alia include rescheduling of payments, conversion of any interest accrued or to be accrued into another credit facility, revisions in working capital sanctions, granting of moratorium etc. based on an assessment of income streams of the borrower. However, compromise settlements are not permitted as a resolution plan for this purpose.</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12. The moratorium period, if granted, may be for a maximum of two years, and shall come into force immediately upon implementation of the resolution plan. The extension of the residual tenor of the loan facilities may also be granted to borrowers, with or without payment moratorium. The overall cap on extension of residual tenor, inclusive of moratorium period if any permitted, shall be two years.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13. The resolution plan may also provide for conversion of a portion of the debt into equity or other marketable, non-convertible debt securities issued by the borrower, wherever applicable, and the same shall be governed in terms of Paragraphs 30-32 of the Annex to the Resolution Framework – 1.0.</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14. The instructions contained in the circular DOR.No.BP.BC/13/21.04.048/2020-21 dated September 7, 2020 on “Resolution Framework for COVID-19-related Stress – Financial Parameters” shall not be applicable to resolution plans implemented under this window.</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15. The resolution plan should be finalised and implemented within 90 days from the date of invocation of the resolution process under this window. The resolution plan shall be deemed to be implemented only if all the conditions in Paragraph 10 of the Annex to the Resolution Framework – 1.0 are met.</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Asset classification and provisioning</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16. If a resolution plan is implemented in adherence to the provisions of this circular, the asset classification of borrowers’ accounts classified as Standard may be retained as such upon implementation, whereas the borrowers’ accounts which may have slipped into NPA between invocation and implementation may be upgraded as Standard, as on the date of implementation of the resolution plan.</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lastRenderedPageBreak/>
        <w:t>17. The subsequent asset classification for such exposures will be governed by the criteria laid out in the Master Circular - Prudential norms on Income Recognition, Asset Classification and Provisioning pertaining to Advances dated July 1, 2015 or other relevant instructions as applicable to specific category of lending institutions (“extant IRAC norms”).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18. In respect of borrowers where the resolution process has been invoked, lending institutions are permitted to sanction additional finance even before implementation of the plan in order to meet the interim liquidity requirements of the borrower. This facility of additional finance may be classified as ‘Standard’ till implementation of the plan regardless of the actual performance of the borrower in the interim. However, if the resolution plan is not implemented within the stipulated timelines, the asset classification of the additional finance sanctioned will be as per the actual performance of the borrower with respect to such additional finance or performance of the rest of the credit facilities, whichever is worse.</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19. The lending institutions shall keep provisions from the date of implementation, which are higher of the provisions held as per the extant IRAC norms immediately before implementation, or 10 percent of the renegotiated debt exposure of the lending institution post implementation (residual debt). Residual debt, for this purpose, will also include the portion of non-fund based facilities that may have devolved into fund based facilities after the date of implementation.</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20. Half of the above provisions may be written back upon the borrower paying at least 20 per cent of the residual debt without slipping into NPA post implementation of the plan, and the remaining half may be written back upon the borrower paying another 10 per cent of the residual debt without slipping into NPA subsequently.</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Provided that in respect of exposures other than personal loans, the above provisions shall not be written back before one year from the commencement of the first payment of interest or principal (whichever is later) on the credit facility with longest period of moratorium.</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21. The provisions required to be maintained under this window, to the extent not already reversed, shall be available for the provisioning requirements when any of the accounts, where a resolution plan had been implemented, is subsequently classified as NPA.</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Convergence of the norms for loans resolved previously</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22. In cases of loans of borrowers specified in Clause 5 above where resolution plans had been implemented in terms of the Resolution Framework – 1.0, and where the resolution plans had permitted no moratoria or moratoria of less than two years and / or extension of residual tenor by a period of less than two years, lending institutions are permitted to use this window to modify such plans only to the extent of increasing the period of moratorium / extension of residual tenor subject to the caps in Clause 12 above, and the consequent changes necessary in the terms of the loan for implementing such extension. The overall caps on moratorium and / or extension of residual tenor granted under Resolution Framework – 1.0 and this framework combined, shall be two years.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lastRenderedPageBreak/>
        <w:t>23. This modification shall also follow the timelines specified in Clauses 7, 10 and 15 above. For loans where modifications are implemented in line with Clause 22 above, the instructions regarding asset classification and provisioning shall continue to be as per the Resolution Framework – 1.0.</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B. Working capital support for small businesses where resolution plans were implemented previously</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24. In respect of borrowers specified at sub-clauses (b) and (c) of Clause 5 above where resolution plans had been implemented in terms of the Resolution Framework – 1.0,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with the margins and working capital limits being restored to the levels as per the resolution plan implemented under Resolution Framework – 1.0, by March 31, 2022.</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26. Lending institutions may, accordingly, put in place a Board approved policy to implement the above measures, which should be disclosed in the public domain and placed on their websites in a prominent and easily accessible manner.</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C. Disclosures and Credit Reporting</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27. Lending institutions publishing quarterly financial statements shall, at the minimum, make disclosures as per the format prescribed in Format-X in their financial statements for the quarters ending September 30, 2021 and December 31, 2021. The resolution plans implemented in terms of Part A of this framework should also be included in the continuous disclosures required as per Format-B prescribed in the Resolution Framework – 1.0.</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28. The number of borrower accounts where modifications were sanctioned and implemented in terms of Clause 22 above, and the aggregate exposure of the lending institution to such borrowers may also be disclosed on a quarterly basis, starting from the quarter ending June 30, 2021.</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29. Lending institutions that are required to publish only annual financial statements shall make the required disclosures in their annual financial statements, along with other prescribed disclosures.</w:t>
      </w:r>
    </w:p>
    <w:p w:rsidR="00BF2475" w:rsidRPr="00BE0E8C" w:rsidRDefault="00BF2475" w:rsidP="00BF2475">
      <w:pPr>
        <w:pStyle w:val="NormalWeb"/>
        <w:shd w:val="clear" w:color="auto" w:fill="FFFFFF"/>
        <w:spacing w:before="0" w:beforeAutospacing="0" w:after="0" w:afterAutospacing="0"/>
        <w:jc w:val="both"/>
        <w:rPr>
          <w:color w:val="000000"/>
        </w:rPr>
      </w:pPr>
    </w:p>
    <w:p w:rsidR="00BF2475" w:rsidRPr="00BE0E8C" w:rsidRDefault="00BF2475" w:rsidP="00BF2475">
      <w:pPr>
        <w:pStyle w:val="NormalWeb"/>
        <w:shd w:val="clear" w:color="auto" w:fill="FFFFFF"/>
        <w:spacing w:before="0" w:beforeAutospacing="0" w:after="0" w:afterAutospacing="0"/>
        <w:jc w:val="both"/>
        <w:rPr>
          <w:color w:val="000000"/>
        </w:rPr>
      </w:pPr>
      <w:r w:rsidRPr="00BE0E8C">
        <w:rPr>
          <w:color w:val="000000"/>
        </w:rPr>
        <w:t xml:space="preserve">30. The credit reporting by the lending institutions in respect of borrowers where the resolution plan is implemented under Part A of this window shall reflect the “restructured due to COVID-19” status1 of the account. The credit history of the borrowers shall consequently be governed by </w:t>
      </w:r>
      <w:r w:rsidRPr="00BE0E8C">
        <w:rPr>
          <w:color w:val="000000"/>
        </w:rPr>
        <w:lastRenderedPageBreak/>
        <w:t>the respective policies of the credit information companies as applicable to accounts that are restructured.</w:t>
      </w:r>
    </w:p>
    <w:p w:rsidR="00BF2475" w:rsidRPr="00BE0E8C" w:rsidRDefault="00BF2475" w:rsidP="00BF2475">
      <w:pPr>
        <w:spacing w:after="0" w:line="240" w:lineRule="auto"/>
        <w:jc w:val="both"/>
        <w:rPr>
          <w:rFonts w:ascii="Times New Roman" w:hAnsi="Times New Roman" w:cs="Times New Roman"/>
          <w:color w:val="000000"/>
          <w:sz w:val="24"/>
          <w:szCs w:val="24"/>
        </w:rPr>
      </w:pPr>
    </w:p>
    <w:p w:rsidR="00BF2475" w:rsidRDefault="003327B0" w:rsidP="00BF2475">
      <w:pPr>
        <w:pStyle w:val="head"/>
        <w:pBdr>
          <w:bottom w:val="single" w:sz="6" w:space="1" w:color="auto"/>
        </w:pBdr>
        <w:shd w:val="clear" w:color="auto" w:fill="FFFFFF"/>
        <w:spacing w:before="0" w:beforeAutospacing="0" w:after="0" w:afterAutospacing="0"/>
        <w:jc w:val="both"/>
        <w:rPr>
          <w:rStyle w:val="Hyperlink"/>
        </w:rPr>
      </w:pPr>
      <w:hyperlink r:id="rId64" w:history="1">
        <w:r w:rsidR="00BF2475" w:rsidRPr="00BE0E8C">
          <w:rPr>
            <w:rStyle w:val="Hyperlink"/>
          </w:rPr>
          <w:t>https://www.rbi.org.in/Scripts/NotificationUser.aspx?Id=12085&amp;Mode=0</w:t>
        </w:r>
      </w:hyperlink>
    </w:p>
    <w:p w:rsidR="00BF2475" w:rsidRDefault="00BF2475" w:rsidP="00BF2475">
      <w:pPr>
        <w:pStyle w:val="head"/>
        <w:shd w:val="clear" w:color="auto" w:fill="FFFFFF"/>
        <w:spacing w:before="0" w:beforeAutospacing="0" w:after="0" w:afterAutospacing="0"/>
        <w:jc w:val="both"/>
        <w:rPr>
          <w:b/>
          <w:bCs/>
          <w:color w:val="000000"/>
        </w:rPr>
      </w:pPr>
    </w:p>
    <w:p w:rsidR="003E1087" w:rsidRPr="00BE0E8C" w:rsidRDefault="003E1087" w:rsidP="003E1087">
      <w:pPr>
        <w:pStyle w:val="NormalWeb"/>
        <w:shd w:val="clear" w:color="auto" w:fill="FFFFFF"/>
        <w:spacing w:before="0" w:beforeAutospacing="0" w:after="0" w:afterAutospacing="0"/>
        <w:jc w:val="both"/>
        <w:rPr>
          <w:b/>
          <w:bCs/>
          <w:color w:val="000000"/>
        </w:rPr>
      </w:pPr>
      <w:r>
        <w:rPr>
          <w:b/>
          <w:bCs/>
          <w:color w:val="000000"/>
        </w:rPr>
        <w:t xml:space="preserve">14. </w:t>
      </w:r>
      <w:r w:rsidRPr="00BE0E8C">
        <w:rPr>
          <w:b/>
          <w:bCs/>
          <w:color w:val="000000"/>
        </w:rPr>
        <w:t>Credit to MSME Entrepreneurs</w:t>
      </w:r>
    </w:p>
    <w:p w:rsidR="003E1087" w:rsidRPr="00BE0E8C" w:rsidRDefault="003E1087" w:rsidP="003E1087">
      <w:pPr>
        <w:pStyle w:val="NormalWeb"/>
        <w:shd w:val="clear" w:color="auto" w:fill="FFFFFF"/>
        <w:spacing w:before="0" w:beforeAutospacing="0" w:after="0" w:afterAutospacing="0"/>
        <w:jc w:val="both"/>
        <w:rPr>
          <w:b/>
          <w:color w:val="000000"/>
        </w:rPr>
      </w:pPr>
    </w:p>
    <w:p w:rsidR="003E1087" w:rsidRPr="00BE0E8C" w:rsidRDefault="003E1087" w:rsidP="003E1087">
      <w:pPr>
        <w:pStyle w:val="NormalWeb"/>
        <w:shd w:val="clear" w:color="auto" w:fill="FFFFFF"/>
        <w:spacing w:before="0" w:beforeAutospacing="0" w:after="0" w:afterAutospacing="0"/>
        <w:jc w:val="both"/>
        <w:rPr>
          <w:b/>
          <w:color w:val="000000"/>
        </w:rPr>
      </w:pPr>
      <w:r w:rsidRPr="00BE0E8C">
        <w:rPr>
          <w:b/>
          <w:color w:val="000000"/>
        </w:rPr>
        <w:t xml:space="preserve">RBI/2020-21/92 DOR.No.Ret.BC.37/12.01.001/2020-21 </w:t>
      </w:r>
      <w:r w:rsidRPr="00BE0E8C">
        <w:rPr>
          <w:b/>
          <w:color w:val="000000"/>
        </w:rPr>
        <w:tab/>
      </w:r>
      <w:r w:rsidRPr="00BE0E8C">
        <w:rPr>
          <w:b/>
          <w:color w:val="000000"/>
        </w:rPr>
        <w:tab/>
        <w:t>February 05, 2021</w:t>
      </w:r>
    </w:p>
    <w:p w:rsidR="003E1087" w:rsidRPr="00BE0E8C" w:rsidRDefault="003E1087" w:rsidP="003E1087">
      <w:pPr>
        <w:pStyle w:val="NormalWeb"/>
        <w:shd w:val="clear" w:color="auto" w:fill="FFFFFF"/>
        <w:spacing w:before="0" w:beforeAutospacing="0" w:after="0" w:afterAutospacing="0"/>
        <w:jc w:val="both"/>
        <w:rPr>
          <w:color w:val="000000"/>
        </w:rPr>
      </w:pPr>
    </w:p>
    <w:p w:rsidR="003E1087" w:rsidRPr="00BE0E8C" w:rsidRDefault="003E1087" w:rsidP="003E1087">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3E1087" w:rsidRPr="00BE0E8C" w:rsidRDefault="003E1087" w:rsidP="003E1087">
      <w:pPr>
        <w:pStyle w:val="NormalWeb"/>
        <w:shd w:val="clear" w:color="auto" w:fill="FFFFFF"/>
        <w:spacing w:before="0" w:beforeAutospacing="0" w:after="0" w:afterAutospacing="0"/>
        <w:jc w:val="both"/>
        <w:rPr>
          <w:i/>
          <w:color w:val="000000"/>
        </w:rPr>
      </w:pPr>
    </w:p>
    <w:p w:rsidR="003E1087" w:rsidRPr="00BE0E8C" w:rsidRDefault="003E1087" w:rsidP="003E1087">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65" w:tgtFrame="_blank" w:history="1">
        <w:r w:rsidRPr="00BE0E8C">
          <w:rPr>
            <w:rStyle w:val="Hyperlink"/>
          </w:rPr>
          <w:t>Statement on Developmental and Regulatory Policies of February 5, 2021</w:t>
        </w:r>
      </w:hyperlink>
      <w:r w:rsidRPr="00BE0E8C">
        <w:rPr>
          <w:color w:val="000000"/>
        </w:rPr>
        <w:t>, Scheduled Commercial Banks will be allowed to deduct the amount 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lakh per borrower disbursed up to the fortnight ending October 1, 2021, for a period of one year from the date of origination of the loan or the tenure of the loan, whichever is earlier.</w:t>
      </w:r>
    </w:p>
    <w:p w:rsidR="003E1087" w:rsidRPr="00BE0E8C" w:rsidRDefault="003E1087" w:rsidP="003E1087">
      <w:pPr>
        <w:pStyle w:val="NormalWeb"/>
        <w:shd w:val="clear" w:color="auto" w:fill="FFFFFF"/>
        <w:spacing w:before="0" w:beforeAutospacing="0" w:after="0" w:afterAutospacing="0"/>
        <w:jc w:val="both"/>
        <w:rPr>
          <w:color w:val="000000"/>
        </w:rPr>
      </w:pPr>
    </w:p>
    <w:p w:rsidR="003E1087" w:rsidRPr="00BE0E8C" w:rsidRDefault="003E1087" w:rsidP="003E1087">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66"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3E1087" w:rsidRPr="00BE0E8C" w:rsidRDefault="003E1087" w:rsidP="003E1087">
      <w:pPr>
        <w:pStyle w:val="NormalWeb"/>
        <w:pBdr>
          <w:bottom w:val="single" w:sz="12" w:space="1" w:color="auto"/>
        </w:pBdr>
        <w:shd w:val="clear" w:color="auto" w:fill="FFFFFF"/>
        <w:spacing w:before="0" w:beforeAutospacing="0" w:after="0" w:afterAutospacing="0"/>
        <w:jc w:val="both"/>
        <w:rPr>
          <w:color w:val="000000"/>
        </w:rPr>
      </w:pPr>
    </w:p>
    <w:p w:rsidR="003E1087" w:rsidRPr="00BE0E8C" w:rsidRDefault="003E1087" w:rsidP="003E1087">
      <w:pPr>
        <w:pStyle w:val="NormalWeb"/>
        <w:shd w:val="clear" w:color="auto" w:fill="FFFFFF"/>
        <w:spacing w:before="0" w:beforeAutospacing="0" w:after="0" w:afterAutospacing="0"/>
        <w:jc w:val="both"/>
        <w:rPr>
          <w:b/>
          <w:color w:val="000000"/>
        </w:rPr>
      </w:pPr>
    </w:p>
    <w:p w:rsidR="00E90ABC" w:rsidRPr="00BE0E8C" w:rsidRDefault="00E90ABC" w:rsidP="00E90ABC">
      <w:pPr>
        <w:pStyle w:val="NormalWeb"/>
        <w:shd w:val="clear" w:color="auto" w:fill="FFFFFF"/>
        <w:spacing w:before="0" w:beforeAutospacing="0" w:after="0" w:afterAutospacing="0"/>
        <w:jc w:val="both"/>
        <w:rPr>
          <w:b/>
          <w:color w:val="000000"/>
        </w:rPr>
      </w:pPr>
      <w:r>
        <w:rPr>
          <w:b/>
          <w:color w:val="000000"/>
        </w:rPr>
        <w:t xml:space="preserve">15. </w:t>
      </w:r>
      <w:r w:rsidRPr="00BE0E8C">
        <w:rPr>
          <w:b/>
          <w:color w:val="000000"/>
        </w:rPr>
        <w:t>Periodic Updation of KYC – Restrictions on Account Operations for Non-compliance</w:t>
      </w:r>
    </w:p>
    <w:p w:rsidR="00E90ABC" w:rsidRPr="00BE0E8C" w:rsidRDefault="00E90ABC" w:rsidP="00E90ABC">
      <w:pPr>
        <w:pStyle w:val="NormalWeb"/>
        <w:shd w:val="clear" w:color="auto" w:fill="FFFFFF"/>
        <w:spacing w:before="0" w:beforeAutospacing="0" w:after="0" w:afterAutospacing="0"/>
        <w:jc w:val="both"/>
        <w:rPr>
          <w:b/>
          <w:color w:val="000000"/>
        </w:rPr>
      </w:pPr>
    </w:p>
    <w:p w:rsidR="00E90ABC" w:rsidRPr="00BE0E8C" w:rsidRDefault="00E90ABC" w:rsidP="00E90ABC">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E90ABC" w:rsidRPr="00BE0E8C" w:rsidRDefault="00E90ABC" w:rsidP="00E90ABC">
      <w:pPr>
        <w:pStyle w:val="NormalWeb"/>
        <w:shd w:val="clear" w:color="auto" w:fill="FFFFFF"/>
        <w:spacing w:before="0" w:beforeAutospacing="0" w:after="0" w:afterAutospacing="0"/>
        <w:jc w:val="both"/>
        <w:rPr>
          <w:b/>
          <w:color w:val="000000"/>
        </w:rPr>
      </w:pPr>
    </w:p>
    <w:p w:rsidR="00E90ABC" w:rsidRPr="00BE0E8C" w:rsidRDefault="00E90ABC" w:rsidP="00E90ABC">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E90ABC" w:rsidRPr="00BE0E8C" w:rsidRDefault="00E90ABC" w:rsidP="00E90ABC">
      <w:pPr>
        <w:pStyle w:val="NormalWeb"/>
        <w:shd w:val="clear" w:color="auto" w:fill="FFFFFF"/>
        <w:spacing w:before="0" w:beforeAutospacing="0" w:after="0" w:afterAutospacing="0"/>
        <w:jc w:val="both"/>
        <w:rPr>
          <w:i/>
          <w:color w:val="000000"/>
          <w:shd w:val="clear" w:color="auto" w:fill="FFFFFF"/>
        </w:rPr>
      </w:pPr>
    </w:p>
    <w:p w:rsidR="00E90ABC" w:rsidRPr="00BE0E8C" w:rsidRDefault="00E90ABC" w:rsidP="00E90ABC">
      <w:pPr>
        <w:pStyle w:val="NormalWeb"/>
        <w:shd w:val="clear" w:color="auto" w:fill="FFFFFF"/>
        <w:spacing w:before="0" w:beforeAutospacing="0" w:after="0" w:afterAutospacing="0"/>
        <w:jc w:val="both"/>
        <w:rPr>
          <w:color w:val="000000"/>
        </w:rPr>
      </w:pPr>
      <w:r w:rsidRPr="00BE0E8C">
        <w:rPr>
          <w:color w:val="000000"/>
        </w:rPr>
        <w:t>Please refer to Section 38 of the Master Direction on KYC dated February 25, 2016, in terms of which Regulated Entities (REs) have to carry out periodic updation of KYC of existing customers. Keeping in view the current COVID-19 related restrictions in various parts of the country, REs are advised that in respect of the customer accounts where periodic updation of KYC is due and pending as on date, no restrictions on operations of such account shall be imposed till December 31, 2021, for this reason alone, unless warranted under instructions of any regulator/ enforcement agency/court of law, etc.</w:t>
      </w:r>
    </w:p>
    <w:p w:rsidR="00E90ABC" w:rsidRPr="00BE0E8C" w:rsidRDefault="00E90ABC" w:rsidP="00E90ABC">
      <w:pPr>
        <w:pStyle w:val="NormalWeb"/>
        <w:shd w:val="clear" w:color="auto" w:fill="FFFFFF"/>
        <w:spacing w:before="0" w:beforeAutospacing="0" w:after="0" w:afterAutospacing="0"/>
        <w:jc w:val="both"/>
        <w:rPr>
          <w:color w:val="000000"/>
        </w:rPr>
      </w:pPr>
    </w:p>
    <w:p w:rsidR="00E90ABC" w:rsidRPr="00BE0E8C" w:rsidRDefault="00E90ABC" w:rsidP="00E90ABC">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E90ABC" w:rsidRPr="00BE0E8C" w:rsidRDefault="00E90ABC" w:rsidP="00E90ABC">
      <w:pPr>
        <w:pStyle w:val="NormalWeb"/>
        <w:pBdr>
          <w:bottom w:val="single" w:sz="12" w:space="1" w:color="auto"/>
        </w:pBdr>
        <w:shd w:val="clear" w:color="auto" w:fill="FFFFFF"/>
        <w:spacing w:before="0" w:beforeAutospacing="0" w:after="0" w:afterAutospacing="0"/>
        <w:jc w:val="both"/>
        <w:rPr>
          <w:color w:val="000000"/>
        </w:rPr>
      </w:pPr>
    </w:p>
    <w:p w:rsidR="004B5217" w:rsidRPr="00BE0E8C" w:rsidRDefault="004B5217" w:rsidP="004B5217">
      <w:pPr>
        <w:pStyle w:val="NormalWeb"/>
        <w:shd w:val="clear" w:color="auto" w:fill="FFFFFF"/>
        <w:spacing w:before="0" w:beforeAutospacing="0" w:after="0" w:afterAutospacing="0"/>
        <w:jc w:val="both"/>
        <w:rPr>
          <w:b/>
          <w:color w:val="000000"/>
        </w:rPr>
      </w:pPr>
      <w:r>
        <w:rPr>
          <w:b/>
          <w:bCs/>
          <w:color w:val="000000"/>
        </w:rPr>
        <w:lastRenderedPageBreak/>
        <w:t xml:space="preserve">16. </w:t>
      </w:r>
      <w:r w:rsidRPr="00BE0E8C">
        <w:rPr>
          <w:b/>
          <w:bCs/>
          <w:color w:val="000000"/>
        </w:rPr>
        <w:t>Priority Sector Lending (PSL) - On-lending by Small Finance Banks (SFBs) to NBFC-MFIs</w:t>
      </w:r>
    </w:p>
    <w:p w:rsidR="004B5217" w:rsidRPr="00BE0E8C" w:rsidRDefault="004B5217" w:rsidP="004B5217">
      <w:pPr>
        <w:pStyle w:val="NormalWeb"/>
        <w:shd w:val="clear" w:color="auto" w:fill="FFFFFF"/>
        <w:spacing w:before="0" w:beforeAutospacing="0" w:after="0" w:afterAutospacing="0"/>
        <w:jc w:val="both"/>
        <w:rPr>
          <w:b/>
          <w:color w:val="000000"/>
        </w:rPr>
      </w:pPr>
    </w:p>
    <w:p w:rsidR="004B5217" w:rsidRPr="00BE0E8C" w:rsidRDefault="004B5217" w:rsidP="004B5217">
      <w:pPr>
        <w:pStyle w:val="NormalWeb"/>
        <w:shd w:val="clear" w:color="auto" w:fill="FFFFFF"/>
        <w:spacing w:before="0" w:beforeAutospacing="0" w:after="0" w:afterAutospacing="0"/>
        <w:jc w:val="both"/>
        <w:rPr>
          <w:b/>
          <w:color w:val="000000"/>
        </w:rPr>
      </w:pPr>
      <w:r w:rsidRPr="00BE0E8C">
        <w:rPr>
          <w:b/>
          <w:color w:val="000000"/>
        </w:rPr>
        <w:t xml:space="preserve">RBI/2021-22/27 FIDD.CO.Plan.BC.No.10/04.09.01/2021-22 </w:t>
      </w:r>
      <w:r w:rsidRPr="00BE0E8C">
        <w:rPr>
          <w:b/>
          <w:color w:val="000000"/>
        </w:rPr>
        <w:tab/>
      </w:r>
      <w:r w:rsidRPr="00BE0E8C">
        <w:rPr>
          <w:b/>
          <w:color w:val="000000"/>
        </w:rPr>
        <w:tab/>
        <w:t>May 5, 2021</w:t>
      </w:r>
    </w:p>
    <w:p w:rsidR="004B5217" w:rsidRPr="00BE0E8C" w:rsidRDefault="004B5217" w:rsidP="004B5217">
      <w:pPr>
        <w:pStyle w:val="NormalWeb"/>
        <w:shd w:val="clear" w:color="auto" w:fill="FFFFFF"/>
        <w:spacing w:before="0" w:beforeAutospacing="0" w:after="0" w:afterAutospacing="0"/>
        <w:jc w:val="both"/>
        <w:rPr>
          <w:i/>
          <w:color w:val="000000"/>
        </w:rPr>
      </w:pPr>
    </w:p>
    <w:p w:rsidR="004B5217" w:rsidRPr="00BE0E8C" w:rsidRDefault="004B5217" w:rsidP="004B5217">
      <w:pPr>
        <w:pStyle w:val="NormalWeb"/>
        <w:shd w:val="clear" w:color="auto" w:fill="FFFFFF"/>
        <w:spacing w:before="0" w:beforeAutospacing="0" w:after="0" w:afterAutospacing="0"/>
        <w:jc w:val="both"/>
        <w:rPr>
          <w:color w:val="000000"/>
        </w:rPr>
      </w:pPr>
      <w:r w:rsidRPr="00BE0E8C">
        <w:rPr>
          <w:i/>
          <w:color w:val="000000"/>
        </w:rPr>
        <w:t>The Chairman/ Managing Director, Chief Executive Officer, Small Finance Banks</w:t>
      </w:r>
    </w:p>
    <w:p w:rsidR="004B5217" w:rsidRPr="00BE0E8C" w:rsidRDefault="004B5217" w:rsidP="004B5217">
      <w:pPr>
        <w:pStyle w:val="NormalWeb"/>
        <w:shd w:val="clear" w:color="auto" w:fill="FFFFFF"/>
        <w:spacing w:before="0" w:beforeAutospacing="0" w:after="0" w:afterAutospacing="0"/>
        <w:jc w:val="both"/>
        <w:rPr>
          <w:color w:val="000000"/>
        </w:rPr>
      </w:pPr>
    </w:p>
    <w:p w:rsidR="004B5217" w:rsidRPr="00BE0E8C" w:rsidRDefault="004B5217" w:rsidP="004B5217">
      <w:pPr>
        <w:pStyle w:val="NormalWeb"/>
        <w:shd w:val="clear" w:color="auto" w:fill="FFFFFF"/>
        <w:spacing w:before="0" w:beforeAutospacing="0" w:after="0" w:afterAutospacing="0"/>
        <w:jc w:val="both"/>
        <w:rPr>
          <w:color w:val="000000"/>
        </w:rPr>
      </w:pPr>
      <w:r w:rsidRPr="00BE0E8C">
        <w:rPr>
          <w:color w:val="000000"/>
        </w:rPr>
        <w:t>As per extant guidelines, lending by Small Finance Banks (SFBs) to Micro-Finance Institutions (MFIs) for on-lending is not reckoned for priority sector lending (PSL) classification. In view of the fresh challenges brought on by the COVID-19 pandemic and to address the emergent liquidity position of smaller MFIs, it has been decided to allow PSL classification to the fresh credit extended by SFBs to registered NBFC-MFIs and other MFIs (Societies, Trusts etc.) which are members of RBI recognised ‘Self-Regulatory Organisation’ of the sector and which have a ‘gross loan portfolio’ of upto ₹500 crore as on 31 March 2021, for the purpose of on-lending to individuals. Bank credit as above will be permitted up to 10% of the bank’s total priority sector portfolio as on 31 March, 2021.</w:t>
      </w:r>
    </w:p>
    <w:p w:rsidR="004B5217" w:rsidRPr="00BE0E8C" w:rsidRDefault="004B5217" w:rsidP="004B5217">
      <w:pPr>
        <w:pStyle w:val="NormalWeb"/>
        <w:shd w:val="clear" w:color="auto" w:fill="FFFFFF"/>
        <w:spacing w:before="0" w:beforeAutospacing="0" w:after="0" w:afterAutospacing="0"/>
        <w:jc w:val="both"/>
        <w:rPr>
          <w:color w:val="000000"/>
        </w:rPr>
      </w:pPr>
    </w:p>
    <w:p w:rsidR="004B5217" w:rsidRPr="00BE0E8C" w:rsidRDefault="004B5217" w:rsidP="004B5217">
      <w:pPr>
        <w:pStyle w:val="NormalWeb"/>
        <w:shd w:val="clear" w:color="auto" w:fill="FFFFFF"/>
        <w:spacing w:before="0" w:beforeAutospacing="0" w:after="0" w:afterAutospacing="0"/>
        <w:jc w:val="both"/>
        <w:rPr>
          <w:color w:val="000000"/>
        </w:rPr>
      </w:pPr>
      <w:r w:rsidRPr="00BE0E8C">
        <w:rPr>
          <w:color w:val="000000"/>
        </w:rPr>
        <w:t>2. The above dispensation shall be valid upto March 31, 2022. However, loans thus disbursed will continue to be classified under Priority Sector till the date of repayment/maturity whichever is earlier. Further, banks will be required to adhere to the conditions prescribed for on-lending under para 21 of our Master Directions on PSL dated September 4, 2020 (updated as on April 29, 2021).</w:t>
      </w:r>
    </w:p>
    <w:p w:rsidR="004B5217" w:rsidRPr="00BE0E8C" w:rsidRDefault="004B5217" w:rsidP="004B5217">
      <w:pPr>
        <w:pStyle w:val="NormalWeb"/>
        <w:shd w:val="clear" w:color="auto" w:fill="FFFFFF"/>
        <w:spacing w:before="0" w:beforeAutospacing="0" w:after="0" w:afterAutospacing="0"/>
        <w:jc w:val="both"/>
        <w:rPr>
          <w:color w:val="000000"/>
        </w:rPr>
      </w:pPr>
    </w:p>
    <w:p w:rsidR="004B5217" w:rsidRPr="00BE0E8C" w:rsidRDefault="004B5217" w:rsidP="004B5217">
      <w:pPr>
        <w:pStyle w:val="NormalWeb"/>
        <w:shd w:val="clear" w:color="auto" w:fill="FFFFFF"/>
        <w:spacing w:before="0" w:beforeAutospacing="0" w:after="0" w:afterAutospacing="0"/>
        <w:jc w:val="both"/>
        <w:rPr>
          <w:color w:val="000000"/>
        </w:rPr>
      </w:pPr>
      <w:r w:rsidRPr="00BE0E8C">
        <w:rPr>
          <w:color w:val="000000"/>
        </w:rPr>
        <w:t>3. The guidelines shall come into effect from the date of the issuance of this circular.</w:t>
      </w:r>
    </w:p>
    <w:p w:rsidR="004B5217" w:rsidRPr="00BE0E8C" w:rsidRDefault="004B5217" w:rsidP="004B5217">
      <w:pPr>
        <w:pStyle w:val="NormalWeb"/>
        <w:shd w:val="clear" w:color="auto" w:fill="FFFFFF"/>
        <w:spacing w:before="0" w:beforeAutospacing="0" w:after="0" w:afterAutospacing="0"/>
        <w:jc w:val="both"/>
        <w:rPr>
          <w:color w:val="000000"/>
        </w:rPr>
      </w:pPr>
    </w:p>
    <w:p w:rsidR="004B5217" w:rsidRPr="00BE0E8C" w:rsidRDefault="003327B0" w:rsidP="004B5217">
      <w:pPr>
        <w:pStyle w:val="NormalWeb"/>
        <w:pBdr>
          <w:bottom w:val="single" w:sz="12" w:space="1" w:color="auto"/>
        </w:pBdr>
        <w:shd w:val="clear" w:color="auto" w:fill="FFFFFF"/>
        <w:spacing w:before="0" w:beforeAutospacing="0" w:after="0" w:afterAutospacing="0"/>
        <w:jc w:val="both"/>
        <w:rPr>
          <w:color w:val="000000"/>
        </w:rPr>
      </w:pPr>
      <w:hyperlink r:id="rId67" w:history="1">
        <w:r w:rsidR="004B5217" w:rsidRPr="00BE0E8C">
          <w:rPr>
            <w:rStyle w:val="Hyperlink"/>
          </w:rPr>
          <w:t>https://www.rbi.org.in/Scripts/NotificationUser.aspx?Id=12081&amp;Mode=0</w:t>
        </w:r>
      </w:hyperlink>
      <w:r w:rsidR="004B5217" w:rsidRPr="00BE0E8C">
        <w:rPr>
          <w:color w:val="000000"/>
        </w:rPr>
        <w:t xml:space="preserve"> </w:t>
      </w:r>
    </w:p>
    <w:p w:rsidR="00063769" w:rsidRPr="00BE0E8C" w:rsidRDefault="00063769" w:rsidP="00063769">
      <w:pPr>
        <w:pStyle w:val="NormalWeb"/>
        <w:shd w:val="clear" w:color="auto" w:fill="FFFFFF"/>
        <w:spacing w:before="0" w:beforeAutospacing="0" w:after="0" w:afterAutospacing="0"/>
        <w:jc w:val="both"/>
        <w:rPr>
          <w:b/>
          <w:bCs/>
          <w:color w:val="000000"/>
        </w:rPr>
      </w:pPr>
      <w:r>
        <w:rPr>
          <w:b/>
          <w:bCs/>
          <w:color w:val="000000"/>
        </w:rPr>
        <w:t xml:space="preserve">17. </w:t>
      </w:r>
      <w:r w:rsidRPr="00BE0E8C">
        <w:rPr>
          <w:b/>
          <w:bCs/>
          <w:color w:val="000000"/>
        </w:rPr>
        <w:t>Asset Classification and Income Recognition following the expiry of Covid-19 regulatory package</w:t>
      </w:r>
    </w:p>
    <w:p w:rsidR="00063769" w:rsidRDefault="00063769" w:rsidP="00063769">
      <w:pPr>
        <w:pStyle w:val="NormalWeb"/>
        <w:shd w:val="clear" w:color="auto" w:fill="FFFFFF"/>
        <w:spacing w:before="0" w:beforeAutospacing="0" w:after="0" w:afterAutospacing="0"/>
        <w:jc w:val="both"/>
        <w:rPr>
          <w:b/>
          <w:color w:val="000000"/>
        </w:rPr>
      </w:pPr>
    </w:p>
    <w:p w:rsidR="00063769" w:rsidRPr="00BE0E8C" w:rsidRDefault="00063769" w:rsidP="00063769">
      <w:pPr>
        <w:pStyle w:val="NormalWeb"/>
        <w:shd w:val="clear" w:color="auto" w:fill="FFFFFF"/>
        <w:spacing w:before="0" w:beforeAutospacing="0" w:after="0" w:afterAutospacing="0"/>
        <w:jc w:val="both"/>
        <w:rPr>
          <w:b/>
          <w:color w:val="000000"/>
        </w:rPr>
      </w:pPr>
      <w:r w:rsidRPr="00BE0E8C">
        <w:rPr>
          <w:b/>
          <w:color w:val="000000"/>
        </w:rPr>
        <w:t>RBI/2021-22/17 DOR.STR.REC.4/21.04.048/2021-22</w:t>
      </w:r>
      <w:r w:rsidRPr="00BE0E8C">
        <w:rPr>
          <w:b/>
          <w:color w:val="000000"/>
        </w:rPr>
        <w:tab/>
      </w:r>
      <w:r w:rsidRPr="00BE0E8C">
        <w:rPr>
          <w:b/>
          <w:color w:val="000000"/>
        </w:rPr>
        <w:tab/>
      </w:r>
      <w:r w:rsidRPr="00BE0E8C">
        <w:rPr>
          <w:b/>
          <w:color w:val="000000"/>
        </w:rPr>
        <w:tab/>
        <w:t>April 7, 2021</w:t>
      </w:r>
    </w:p>
    <w:p w:rsidR="00063769" w:rsidRDefault="00063769" w:rsidP="00063769">
      <w:pPr>
        <w:pStyle w:val="NormalWeb"/>
        <w:shd w:val="clear" w:color="auto" w:fill="FFFFFF"/>
        <w:spacing w:before="0" w:beforeAutospacing="0" w:after="0" w:afterAutospacing="0"/>
        <w:jc w:val="both"/>
        <w:rPr>
          <w:i/>
          <w:color w:val="000000"/>
        </w:rPr>
      </w:pPr>
    </w:p>
    <w:p w:rsidR="00063769" w:rsidRPr="00BE0E8C" w:rsidRDefault="00063769" w:rsidP="00063769">
      <w:pPr>
        <w:pStyle w:val="NormalWeb"/>
        <w:shd w:val="clear" w:color="auto" w:fill="FFFFFF"/>
        <w:spacing w:before="0" w:beforeAutospacing="0" w:after="0" w:afterAutospacing="0"/>
        <w:jc w:val="both"/>
        <w:rPr>
          <w:i/>
          <w:color w:val="000000"/>
        </w:rPr>
      </w:pPr>
      <w:r w:rsidRPr="00BE0E8C">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The Hon’ble Supreme Court of India has pronounced its judgement in the matter of Small Scale Industrial Manufacturers Association vs UOI &amp; Ors. and other connected matters on March 23, 2021. In this connection, it is advised hereunder:</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b/>
          <w:color w:val="000000"/>
        </w:rPr>
      </w:pPr>
      <w:r w:rsidRPr="00BE0E8C">
        <w:rPr>
          <w:b/>
          <w:color w:val="000000"/>
        </w:rPr>
        <w:t>I. Refund/adjustment of ‘interest on interest’</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2. All lending institutions</w:t>
      </w:r>
      <w:r w:rsidRPr="00BE0E8C">
        <w:rPr>
          <w:color w:val="000000"/>
          <w:vertAlign w:val="superscript"/>
        </w:rPr>
        <w:t>1</w:t>
      </w:r>
      <w:r w:rsidRPr="00BE0E8C">
        <w:rPr>
          <w:color w:val="000000"/>
        </w:rPr>
        <w:t xml:space="preserve"> shall immediately put in place a Board-approved policy to refund/adjust the ‘interest on interest’ charged to the borrowers during the moratorium period, i.e. March 1, 2020 to August 31, 2020 in conformity with the above judgement. In order to ensure that the above judgement is implemented uniformly in letter and spirit by all lending institutions, methodology for calculation of the amount to be refunded/adjusted for different facilities shall be finalised by </w:t>
      </w:r>
      <w:r w:rsidRPr="00BE0E8C">
        <w:rPr>
          <w:color w:val="000000"/>
        </w:rPr>
        <w:lastRenderedPageBreak/>
        <w:t>the Indian Banks Association (IBA) in consultation with other industry participants/bodies, which shall be adopted by all lending institutions.</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3. The above reliefs shall be applicable to all borrowers, including those who had availed of working capital facilities during the moratorium period, irrespective of whether moratorium had been fully or partially availed, or not availed, in terms of the circulars DOR.No.BP.BC.47/21.04.048/2019-20 dated March 27, 2020 and DOR.No.BP.BC.71/21.04.048/2019-20 dated May 23, 2020 (“Covid-19 Regulatory Package”).</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4. Lending institutions shall disclose the aggregate amount to be refunded/adjusted in respect of their borrowers based on the above reliefs in their financial statements for the year ending March 31, 2021.</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b/>
          <w:color w:val="000000"/>
        </w:rPr>
      </w:pPr>
      <w:r w:rsidRPr="00BE0E8C">
        <w:rPr>
          <w:b/>
          <w:color w:val="000000"/>
        </w:rPr>
        <w:t>II. Asset Classification</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5. Asset classification of borrower accounts by all lending institutions following the above judgment shall continue to be governed by the extant instructions as clarified below.</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In respect of accounts which were not granted any moratorium in terms of the Covid19 Regulatory Package, asset classification shall be as per the criteria laid out in the Master Circular - Prudential norms on Income Recognition, Asset Classification and Provisioning pertaining to Advances dated July 1, 2015 or other relevant instructions as applicable to the specific category of lending institutions (IRAC Norms).</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color w:val="000000"/>
        </w:rPr>
      </w:pPr>
      <w:r w:rsidRPr="00BE0E8C">
        <w:rPr>
          <w:color w:val="000000"/>
        </w:rPr>
        <w:t>In respect of accounts which were granted moratorium in terms of the Covid19 Regulatory Package, the asset classification for the period from March 1, 2020 to August 31, 2020 shall be governed in terms of the circular DOR.No.BP.BC.63/21.04.048/2019-20 dated April 17, 2020, read with circular DOR.No.BP.BC.71/21.04.048/2019-20 dated May 23, 2020. For the period commencing September 1, 2020, asset classification for all such accounts shall be as per the applicable IRAC Norms.</w:t>
      </w:r>
    </w:p>
    <w:p w:rsidR="00063769" w:rsidRPr="00BE0E8C" w:rsidRDefault="00063769" w:rsidP="00063769">
      <w:pPr>
        <w:pStyle w:val="NormalWeb"/>
        <w:shd w:val="clear" w:color="auto" w:fill="FFFFFF"/>
        <w:spacing w:before="0" w:beforeAutospacing="0" w:after="0" w:afterAutospacing="0"/>
        <w:jc w:val="both"/>
        <w:rPr>
          <w:color w:val="000000"/>
        </w:rPr>
      </w:pPr>
    </w:p>
    <w:p w:rsidR="00063769" w:rsidRPr="00BE0E8C" w:rsidRDefault="00063769" w:rsidP="00063769">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vertAlign w:val="superscript"/>
        </w:rPr>
        <w:t>1</w:t>
      </w:r>
      <w:r w:rsidRPr="00BE0E8C">
        <w:rPr>
          <w:i/>
          <w:color w:val="000000"/>
          <w:shd w:val="clear" w:color="auto" w:fill="FFFFFF"/>
        </w:rPr>
        <w:t> Commercial Banks (including Small Finance Banks, Local Area Banks and Regional Rural Banks), Primary (Urban) Co-operative Banks/State Co-operative Banks/ District Central Co-operative Banks, All-India Financial Institutions, and Non-Banking Financial Companies (including Housing Finance Companies)</w:t>
      </w:r>
    </w:p>
    <w:p w:rsidR="00063769" w:rsidRPr="00BE0E8C" w:rsidRDefault="00063769" w:rsidP="00063769">
      <w:pPr>
        <w:pStyle w:val="NormalWeb"/>
        <w:pBdr>
          <w:bottom w:val="single" w:sz="12" w:space="1" w:color="auto"/>
        </w:pBdr>
        <w:shd w:val="clear" w:color="auto" w:fill="FFFFFF"/>
        <w:spacing w:before="0" w:beforeAutospacing="0" w:after="0" w:afterAutospacing="0"/>
        <w:jc w:val="both"/>
        <w:rPr>
          <w:color w:val="000000"/>
        </w:rPr>
      </w:pPr>
    </w:p>
    <w:p w:rsidR="00063769" w:rsidRPr="00BE0E8C" w:rsidRDefault="003327B0" w:rsidP="00063769">
      <w:pPr>
        <w:pStyle w:val="NormalWeb"/>
        <w:pBdr>
          <w:bottom w:val="single" w:sz="12" w:space="1" w:color="auto"/>
        </w:pBdr>
        <w:shd w:val="clear" w:color="auto" w:fill="FFFFFF"/>
        <w:spacing w:before="0" w:beforeAutospacing="0" w:after="0" w:afterAutospacing="0"/>
        <w:jc w:val="both"/>
        <w:rPr>
          <w:color w:val="000000"/>
        </w:rPr>
      </w:pPr>
      <w:hyperlink r:id="rId68" w:history="1">
        <w:r w:rsidR="00063769" w:rsidRPr="00BE0E8C">
          <w:rPr>
            <w:rStyle w:val="Hyperlink"/>
          </w:rPr>
          <w:t>https://www.rbi.org.in/Scripts/NotificationUser.aspx?Id=12071&amp;Mode=0</w:t>
        </w:r>
      </w:hyperlink>
    </w:p>
    <w:p w:rsidR="00063769" w:rsidRPr="00BE0E8C" w:rsidRDefault="00063769" w:rsidP="00063769">
      <w:pPr>
        <w:pStyle w:val="NormalWeb"/>
        <w:shd w:val="clear" w:color="auto" w:fill="FFFFFF"/>
        <w:spacing w:before="0" w:beforeAutospacing="0" w:after="0" w:afterAutospacing="0"/>
        <w:jc w:val="both"/>
        <w:rPr>
          <w:b/>
          <w:color w:val="000000"/>
        </w:rPr>
      </w:pPr>
    </w:p>
    <w:p w:rsidR="00E8441C" w:rsidRPr="00BE0E8C" w:rsidRDefault="00E8441C" w:rsidP="00E844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color w:val="000000"/>
        </w:rPr>
        <w:t>18.</w:t>
      </w:r>
      <w:r w:rsidRPr="00E8441C">
        <w:rPr>
          <w:rFonts w:ascii="Times New Roman" w:eastAsia="Times New Roman" w:hAnsi="Times New Roman" w:cs="Times New Roman"/>
          <w:b/>
          <w:color w:val="000000"/>
          <w:sz w:val="24"/>
          <w:szCs w:val="24"/>
          <w:lang w:eastAsia="en-IN"/>
        </w:rPr>
        <w:t xml:space="preserve"> </w:t>
      </w:r>
      <w:r w:rsidRPr="00BE0E8C">
        <w:rPr>
          <w:rFonts w:ascii="Times New Roman" w:eastAsia="Times New Roman" w:hAnsi="Times New Roman" w:cs="Times New Roman"/>
          <w:b/>
          <w:color w:val="000000"/>
          <w:sz w:val="24"/>
          <w:szCs w:val="24"/>
          <w:lang w:eastAsia="en-IN"/>
        </w:rPr>
        <w:t>Priority Sector Lending (PSL) - Lending by banks to NBFCs for On-Lending</w:t>
      </w:r>
    </w:p>
    <w:p w:rsidR="00E8441C" w:rsidRPr="00BE0E8C" w:rsidRDefault="00E8441C" w:rsidP="00E8441C">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E8441C" w:rsidRPr="00BE0E8C" w:rsidRDefault="00E8441C" w:rsidP="00E8441C">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RBI/2021-22/15 FIDD.CO.Plan.BC.No.8/04.09.01/2021-22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7, 2021</w:t>
      </w:r>
    </w:p>
    <w:p w:rsidR="00E8441C" w:rsidRPr="00BE0E8C" w:rsidRDefault="00E8441C" w:rsidP="00E8441C">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E8441C" w:rsidRPr="00BE0E8C" w:rsidRDefault="00E8441C" w:rsidP="00E8441C">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Chairman / Managing Director/ Chief Executive Officer, [All Commercial Banks including Regional Rural Banks, Small Finance Banks, Local Area Banks and Primary (Urban) Co-operative Banks other than Salary Earners’ Banks]</w:t>
      </w:r>
    </w:p>
    <w:p w:rsidR="00E8441C" w:rsidRPr="00BE0E8C" w:rsidRDefault="00E8441C" w:rsidP="00E8441C">
      <w:pPr>
        <w:pStyle w:val="NormalWeb"/>
        <w:shd w:val="clear" w:color="auto" w:fill="FFFFFF"/>
        <w:spacing w:before="0" w:beforeAutospacing="0" w:after="0" w:afterAutospacing="0"/>
        <w:jc w:val="both"/>
        <w:rPr>
          <w:color w:val="000000"/>
        </w:rPr>
      </w:pPr>
    </w:p>
    <w:p w:rsidR="00E8441C" w:rsidRPr="00BE0E8C" w:rsidRDefault="00E8441C" w:rsidP="00E8441C">
      <w:pPr>
        <w:pStyle w:val="NormalWeb"/>
        <w:shd w:val="clear" w:color="auto" w:fill="FFFFFF"/>
        <w:spacing w:before="0" w:beforeAutospacing="0" w:after="0" w:afterAutospacing="0"/>
        <w:jc w:val="both"/>
        <w:rPr>
          <w:color w:val="000000"/>
        </w:rPr>
      </w:pPr>
      <w:r w:rsidRPr="00BE0E8C">
        <w:rPr>
          <w:color w:val="000000"/>
        </w:rPr>
        <w:lastRenderedPageBreak/>
        <w:t>Please refer to our Circular No. </w:t>
      </w:r>
      <w:hyperlink r:id="rId69" w:tgtFrame="_blank" w:history="1">
        <w:r w:rsidRPr="00BE0E8C">
          <w:rPr>
            <w:rStyle w:val="Hyperlink"/>
          </w:rPr>
          <w:t>RBI/2019-20/179 FIDD.CO.Plan.BC.No.19/04.09.01/2019-20 dated March 23, 2020</w:t>
        </w:r>
      </w:hyperlink>
      <w:r w:rsidRPr="00BE0E8C">
        <w:rPr>
          <w:color w:val="000000"/>
        </w:rPr>
        <w:t> advising, inter alia, that the bank loans to registered NBFCs (other than MFIs) for on-lending will be eligible for classification as priority sector under Agriculture and Micro &amp; Small Enterprises up to March 31, 2021 and will be reviewed thereafter.</w:t>
      </w:r>
    </w:p>
    <w:p w:rsidR="00E8441C" w:rsidRPr="00BE0E8C" w:rsidRDefault="00E8441C" w:rsidP="00E8441C">
      <w:pPr>
        <w:pStyle w:val="NormalWeb"/>
        <w:shd w:val="clear" w:color="auto" w:fill="FFFFFF"/>
        <w:spacing w:before="0" w:beforeAutospacing="0" w:after="0" w:afterAutospacing="0"/>
        <w:jc w:val="both"/>
        <w:rPr>
          <w:color w:val="000000"/>
        </w:rPr>
      </w:pPr>
    </w:p>
    <w:p w:rsidR="00E8441C" w:rsidRPr="00BE0E8C" w:rsidRDefault="00E8441C" w:rsidP="00E8441C">
      <w:pPr>
        <w:pStyle w:val="NormalWeb"/>
        <w:shd w:val="clear" w:color="auto" w:fill="FFFFFF"/>
        <w:spacing w:before="0" w:beforeAutospacing="0" w:after="0" w:afterAutospacing="0"/>
        <w:jc w:val="both"/>
        <w:rPr>
          <w:color w:val="000000"/>
        </w:rPr>
      </w:pPr>
      <w:r w:rsidRPr="00BE0E8C">
        <w:rPr>
          <w:color w:val="000000"/>
        </w:rPr>
        <w:t>2. As announced in the </w:t>
      </w:r>
      <w:hyperlink r:id="rId70" w:tgtFrame="_blank" w:history="1">
        <w:r w:rsidRPr="00BE0E8C">
          <w:rPr>
            <w:rStyle w:val="Hyperlink"/>
          </w:rPr>
          <w:t>Statement on Developmental and Regulatory Policies dated April 7, 2021</w:t>
        </w:r>
      </w:hyperlink>
      <w:r w:rsidRPr="00BE0E8C">
        <w:rPr>
          <w:color w:val="000000"/>
        </w:rPr>
        <w:t>, with a view to ensure continued availability of credit to these sectors to aid faster economic recovery, it has been decided to extend the PSL classification for lending by banks to NBFCs for on-lending by six months i.e. up to September 30, 2021. However, bank loans to HFCs for on-lending for the purpose of housing, as prescribed in para 23 of our Master Direction on PSL dated September 4, 2020, will continue on an on-going basis. Further, existing loans disbursed under the on-lending model will continue to be classified under Priority Sector till the date of repayment/maturity.</w:t>
      </w:r>
    </w:p>
    <w:p w:rsidR="00E8441C" w:rsidRPr="00BE0E8C" w:rsidRDefault="00E8441C" w:rsidP="00E8441C">
      <w:pPr>
        <w:pStyle w:val="NormalWeb"/>
        <w:shd w:val="clear" w:color="auto" w:fill="FFFFFF"/>
        <w:spacing w:before="0" w:beforeAutospacing="0" w:after="0" w:afterAutospacing="0"/>
        <w:jc w:val="both"/>
        <w:rPr>
          <w:color w:val="000000"/>
        </w:rPr>
      </w:pPr>
    </w:p>
    <w:p w:rsidR="00E8441C" w:rsidRPr="00BE0E8C" w:rsidRDefault="00E8441C" w:rsidP="00E8441C">
      <w:pPr>
        <w:pStyle w:val="NormalWeb"/>
        <w:shd w:val="clear" w:color="auto" w:fill="FFFFFF"/>
        <w:spacing w:before="0" w:beforeAutospacing="0" w:after="0" w:afterAutospacing="0"/>
        <w:jc w:val="both"/>
        <w:rPr>
          <w:color w:val="000000"/>
        </w:rPr>
      </w:pPr>
      <w:r w:rsidRPr="00BE0E8C">
        <w:rPr>
          <w:color w:val="000000"/>
        </w:rPr>
        <w:t>3. All other guidelines as issued vide circulars </w:t>
      </w:r>
      <w:hyperlink r:id="rId71" w:tgtFrame="_blank" w:history="1">
        <w:r w:rsidRPr="00BE0E8C">
          <w:rPr>
            <w:rStyle w:val="Hyperlink"/>
          </w:rPr>
          <w:t>FIDD.CO.Plan.BC.7/04.09.01/2019-20 dated August 13, 2019</w:t>
        </w:r>
      </w:hyperlink>
      <w:r w:rsidRPr="00BE0E8C">
        <w:rPr>
          <w:color w:val="000000"/>
        </w:rPr>
        <w:t>, </w:t>
      </w:r>
      <w:hyperlink r:id="rId72" w:tgtFrame="_blank" w:history="1">
        <w:r w:rsidRPr="00BE0E8C">
          <w:rPr>
            <w:rStyle w:val="Hyperlink"/>
          </w:rPr>
          <w:t>FIDD.CO.Plan.BC.No.19/04.09.01/2019-20 dated March 23, 2020</w:t>
        </w:r>
      </w:hyperlink>
      <w:r w:rsidRPr="00BE0E8C">
        <w:rPr>
          <w:color w:val="000000"/>
        </w:rPr>
        <w:t> and </w:t>
      </w:r>
      <w:hyperlink r:id="rId73" w:tgtFrame="_blank" w:history="1">
        <w:r w:rsidRPr="00BE0E8C">
          <w:rPr>
            <w:rStyle w:val="Hyperlink"/>
          </w:rPr>
          <w:t>Master Directions on PSL dated September 4, 2020</w:t>
        </w:r>
      </w:hyperlink>
      <w:r w:rsidRPr="00BE0E8C">
        <w:rPr>
          <w:color w:val="000000"/>
        </w:rPr>
        <w:t> will continue to apply.</w:t>
      </w:r>
    </w:p>
    <w:p w:rsidR="00E8441C" w:rsidRPr="00BE0E8C" w:rsidRDefault="003327B0" w:rsidP="00E8441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74" w:history="1">
        <w:r w:rsidR="00E8441C" w:rsidRPr="00BE0E8C">
          <w:rPr>
            <w:rStyle w:val="Hyperlink"/>
            <w:rFonts w:ascii="Times New Roman" w:eastAsia="Times New Roman" w:hAnsi="Times New Roman" w:cs="Times New Roman"/>
            <w:sz w:val="24"/>
            <w:szCs w:val="24"/>
            <w:lang w:eastAsia="en-IN"/>
          </w:rPr>
          <w:t>https://www.rbi.org.in/Scripts/NotificationUser.aspx?Id=12069&amp;Mode=0</w:t>
        </w:r>
      </w:hyperlink>
    </w:p>
    <w:p w:rsidR="0019502A" w:rsidRPr="00BE0E8C" w:rsidRDefault="0019502A" w:rsidP="0019502A">
      <w:pPr>
        <w:pStyle w:val="NormalWeb"/>
        <w:shd w:val="clear" w:color="auto" w:fill="FFFFFF"/>
        <w:spacing w:before="0" w:beforeAutospacing="0" w:after="0" w:afterAutospacing="0"/>
        <w:jc w:val="both"/>
        <w:rPr>
          <w:b/>
          <w:bCs/>
          <w:color w:val="000000"/>
        </w:rPr>
      </w:pPr>
      <w:r>
        <w:rPr>
          <w:color w:val="000000"/>
        </w:rPr>
        <w:t xml:space="preserve">19. </w:t>
      </w:r>
      <w:r w:rsidRPr="00BE0E8C">
        <w:rPr>
          <w:b/>
          <w:bCs/>
          <w:color w:val="000000"/>
        </w:rPr>
        <w:t>Deendayal Antyodaya Yojana – National Urban Livelihoods Mission (DAY-NULM)</w:t>
      </w:r>
    </w:p>
    <w:p w:rsidR="0019502A" w:rsidRPr="00BE0E8C" w:rsidRDefault="0019502A" w:rsidP="0019502A">
      <w:pPr>
        <w:pStyle w:val="NormalWeb"/>
        <w:shd w:val="clear" w:color="auto" w:fill="FFFFFF"/>
        <w:spacing w:before="0" w:beforeAutospacing="0" w:after="0" w:afterAutospacing="0"/>
        <w:jc w:val="both"/>
        <w:rPr>
          <w:b/>
          <w:bCs/>
          <w:color w:val="000000"/>
        </w:rPr>
      </w:pPr>
    </w:p>
    <w:p w:rsidR="0019502A" w:rsidRPr="00BE0E8C" w:rsidRDefault="0019502A" w:rsidP="0019502A">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FIDD.GSSD.CO.BC.No.03/09.16.03/2021-22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19502A" w:rsidRPr="00BE0E8C" w:rsidRDefault="0019502A" w:rsidP="0019502A">
      <w:pPr>
        <w:spacing w:after="0" w:line="240" w:lineRule="auto"/>
        <w:jc w:val="both"/>
        <w:rPr>
          <w:rFonts w:ascii="Times New Roman" w:hAnsi="Times New Roman" w:cs="Times New Roman"/>
          <w:i/>
          <w:color w:val="000000"/>
          <w:sz w:val="24"/>
          <w:szCs w:val="24"/>
          <w:shd w:val="clear" w:color="auto" w:fill="FFFFFF"/>
        </w:rPr>
      </w:pPr>
    </w:p>
    <w:p w:rsidR="0019502A" w:rsidRPr="00BE0E8C" w:rsidRDefault="0019502A" w:rsidP="0019502A">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19502A" w:rsidRPr="00BE0E8C" w:rsidRDefault="0019502A" w:rsidP="0019502A">
      <w:pPr>
        <w:spacing w:after="0" w:line="240" w:lineRule="auto"/>
        <w:jc w:val="both"/>
        <w:rPr>
          <w:rFonts w:ascii="Times New Roman" w:hAnsi="Times New Roman" w:cs="Times New Roman"/>
          <w:color w:val="000000"/>
          <w:sz w:val="24"/>
          <w:szCs w:val="24"/>
          <w:shd w:val="clear" w:color="auto" w:fill="FFFFFF"/>
        </w:rPr>
      </w:pPr>
    </w:p>
    <w:p w:rsidR="0019502A" w:rsidRPr="00BE0E8C" w:rsidRDefault="0019502A" w:rsidP="0019502A">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Master Circular on DAY-NULM </w:t>
      </w:r>
      <w:hyperlink r:id="rId75"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19502A" w:rsidRPr="00BE0E8C" w:rsidRDefault="0019502A" w:rsidP="0019502A">
      <w:pPr>
        <w:pStyle w:val="head"/>
        <w:shd w:val="clear" w:color="auto" w:fill="FFFFFF"/>
        <w:spacing w:before="0" w:beforeAutospacing="0" w:after="0" w:afterAutospacing="0"/>
        <w:jc w:val="both"/>
        <w:rPr>
          <w:b/>
          <w:bCs/>
          <w:color w:val="000000"/>
          <w:u w:val="single"/>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(MoHUA), restructured the existing Swarna Jayanti Shahari Rozgar Yojana (SJSRY) and launched the National Urban Livelihoods Mission (NULM) in 2013. NULM has been under implementation w.e.f. September 24, 2013 in all district headquarters (irrespective of population) and all the cities with population of 1 lakh or more.</w:t>
      </w:r>
    </w:p>
    <w:p w:rsidR="0019502A" w:rsidRPr="00BE0E8C" w:rsidRDefault="0019502A" w:rsidP="0019502A">
      <w:pPr>
        <w:pStyle w:val="NormalWeb"/>
        <w:shd w:val="clear" w:color="auto" w:fill="FFFFFF"/>
        <w:spacing w:before="0" w:beforeAutospacing="0" w:after="0" w:afterAutospacing="0"/>
        <w:jc w:val="both"/>
        <w:rPr>
          <w:color w:val="000000"/>
        </w:rPr>
      </w:pP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No.K-14011/2/2012-UPA/FTS-5196 dated February 19, 2016 had enhanced the scope of National Urban Livelihoods Mission. The Mission with enhanced scope was renamed as </w:t>
      </w:r>
      <w:r w:rsidRPr="00BE0E8C">
        <w:rPr>
          <w:rStyle w:val="head1"/>
          <w:b/>
          <w:bCs/>
          <w:color w:val="000000"/>
        </w:rPr>
        <w:t>“Deendayal Antyodaya Yojana -National Urban Livelihoods Mission (DAY-NULM)”</w:t>
      </w:r>
      <w:r w:rsidRPr="00BE0E8C">
        <w:rPr>
          <w:color w:val="000000"/>
        </w:rPr>
        <w: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lastRenderedPageBreak/>
        <w:t>The operational guidelines of the Self Employment Program (SEP) component of DAY-NULM are as under:</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1. Introduction: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The Community Organizers (COs) and professionals from Urban Local Body (ULB) will identify the prospective beneficiaries from among the urban poor. The community structures 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empaneled Business Correspondents (BCs) and Business Facilitators (BFs) to increase the outreach. Due diligence will be undertaken as per the Banks’ policy, in this regard.</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2.1 The application for individual and group enterprise loans will be sponsored by the Urban Local Body (ULB) which will be the sponsoring agency for the individual and group enterprise.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2.3 The beneficiaries desirous of seeking financial assistance for setting up an enterprise can submit an application of intent to the concerned ULB officials on a plain paper with basic details viz: Name, Age, Contact details, Address, Aadhaar details (if any), amount of loan required, bank account number (if available), type of enterprise/ activity, category etc. The intent could also be sent by mail /post to the ULB office. The ULB shall accept such intents throughout the year.</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lastRenderedPageBreak/>
        <w:t>2.4 The community structures formed under Social Mobilization &amp; Institutional Development (SM&amp;ID) component of DAY-NULM viz: Self Help Groups (SHGs)/ Area Level Federations (ALFs) may also refer prospective individual and group entrepreneurs for purpose of financial assistance under SEP to ULB.</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2.6 ULB will call the beneficiaries in order of the waiting list to complete requisite documentation including filling of Loan Application Form (LAF), activity details, identity proof, address proof, bank account details etc. To verify the identity of the beneficiary, her/his Aadhar number will also be brought on record. If beneficiary does not have Aadhaar card, his/ her any other unique identification document like voters’ card, driving license etc. will be taken and s/he will be helped to obtain Aadhar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2.8 The Chief Executive Officer (CEO)/ Municipal Commissioner of ULB will be responsible to constitute the Task Force and will be the Chairman of the Task force. There could be more than 1 task force at ULB level depending upon the size/population of the ULB.</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19502A" w:rsidRPr="00BE0E8C" w:rsidRDefault="0019502A" w:rsidP="0019502A">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
        <w:gridCol w:w="4848"/>
        <w:gridCol w:w="2623"/>
      </w:tblGrid>
      <w:tr w:rsidR="0019502A" w:rsidRPr="00BE0E8C" w:rsidTr="00B02BBD">
        <w:trPr>
          <w:jc w:val="center"/>
        </w:trPr>
        <w:tc>
          <w:tcPr>
            <w:tcW w:w="300" w:type="pct"/>
            <w:tcMar>
              <w:top w:w="0" w:type="dxa"/>
              <w:left w:w="45" w:type="dxa"/>
              <w:bottom w:w="0" w:type="dxa"/>
              <w:right w:w="45" w:type="dxa"/>
            </w:tcMar>
            <w:vAlign w:val="center"/>
            <w:hideMark/>
          </w:tcPr>
          <w:p w:rsidR="0019502A" w:rsidRPr="00BE0E8C" w:rsidRDefault="0019502A"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Sr. No.</w:t>
            </w:r>
          </w:p>
        </w:tc>
        <w:tc>
          <w:tcPr>
            <w:tcW w:w="3050" w:type="pct"/>
            <w:tcMar>
              <w:top w:w="0" w:type="dxa"/>
              <w:left w:w="45" w:type="dxa"/>
              <w:bottom w:w="0" w:type="dxa"/>
              <w:right w:w="45" w:type="dxa"/>
            </w:tcMar>
            <w:vAlign w:val="center"/>
            <w:hideMark/>
          </w:tcPr>
          <w:p w:rsidR="0019502A" w:rsidRPr="00BE0E8C" w:rsidRDefault="0019502A"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19502A" w:rsidRPr="00BE0E8C" w:rsidRDefault="0019502A" w:rsidP="00B02BBD">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 Convenor</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19502A" w:rsidRPr="00BE0E8C" w:rsidTr="00B02BBD">
        <w:trPr>
          <w:jc w:val="center"/>
        </w:trPr>
        <w:tc>
          <w:tcPr>
            <w:tcW w:w="30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19502A" w:rsidRPr="00BE0E8C" w:rsidRDefault="0019502A"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19502A" w:rsidRPr="00BE0E8C" w:rsidRDefault="0019502A"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19502A" w:rsidRPr="00BE0E8C" w:rsidRDefault="0019502A" w:rsidP="0019502A">
      <w:pPr>
        <w:pStyle w:val="NormalWeb"/>
        <w:shd w:val="clear" w:color="auto" w:fill="FFFFFF"/>
        <w:spacing w:before="0" w:beforeAutospacing="0" w:after="0" w:afterAutospacing="0"/>
        <w:jc w:val="both"/>
        <w:rPr>
          <w:color w:val="000000"/>
        </w:rPr>
      </w:pP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lastRenderedPageBreak/>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2.13 Banks may also directly accept the loan applications of urban poor beneficiaries on the basis of relevant documents as per the guidelines of Prime Minister MUDRA Yojana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In addition to skill training of the beneficiaries, the ULB will also arrange to conduct Entrepreneurship Development Program 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3.3 The EDP module may be developed and finalized by State Urban Livelihoods Mission (SULM) supported by State Mission Management Unit (SMMU) with assistance of an empaneled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xml:space="preserve"> After financing to Individual and Group beneficiaries, the ULB will also arrange to conduct follow-up Entrepreneurship Development Programme (EDP) as and when required. Such programme should </w:t>
      </w:r>
      <w:r w:rsidRPr="00BE0E8C">
        <w:rPr>
          <w:color w:val="000000"/>
        </w:rPr>
        <w:lastRenderedPageBreak/>
        <w:t>preferably be conducted once in six months for each beneficiary who has been given a loan. During the follow-up EDP, problems and issues faced by beneficiaries should also be discussed and solutions should be given.</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Procedure I</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76" w:tgtFrame="_blank" w:history="1">
        <w:r w:rsidRPr="00BE0E8C">
          <w:rPr>
            <w:rStyle w:val="Hyperlink"/>
          </w:rPr>
          <w:t>www.paisaportal.in</w:t>
        </w:r>
      </w:hyperlink>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Procedure - II</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5.6 Settlement of Claims:</w:t>
      </w:r>
      <w:r w:rsidRPr="00BE0E8C">
        <w:rPr>
          <w:color w:val="000000"/>
        </w:rPr>
        <w:t>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reimbursement to the SULM. This procedure will be followed in all three types of loans i.e. SEP (I), SEP (G) and SHG-Bank Linkage.</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lastRenderedPageBreak/>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The Maximum unit Project Cost for an individual micro-enterprise is ₹ 2,00,000 (₹ Two Lakhs).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77"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No margin money should be taken for a loan up to ₹ 50,000 and for higher amount loans, preferably 5% should be taken as margin money and it should in no case be more than 10% of the project cost.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7.3 Project Cost (PC): </w:t>
      </w:r>
      <w:r w:rsidRPr="00BE0E8C">
        <w:rPr>
          <w:color w:val="000000"/>
        </w:rPr>
        <w:t>The group will be eligible for a maximum loan of Rs. 2 Lakh per member or Rs. 10 Lakh, whichever is lower.</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7.4 Type of Loan:</w:t>
      </w:r>
      <w:r w:rsidRPr="00BE0E8C">
        <w:rPr>
          <w:color w:val="000000"/>
        </w:rPr>
        <w:t> Loan can be extended either as a single loan to the group functioning as one borrowing unit or each member of the group can be provided individual loans up to 2 lakhs and an overall cap of 10 lakhs based on the principal of joint liability of the group. The principles laid down in the RBI circular on “Budget (2014-15) Announcement Financing of Joint Farming Groups of ‘Bhoomi Heen Kisan’ dated 13th November, 2014” and subsequent revisions should be followed in case of loans to a group.</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Banks may extend finance to groups for capital expenditure in the form of Term Loan and for Working Capital, through Cash Credit Facility. Banks may also extend Composite Loans for Capital Expenditure and Working Capital, depending upon Group’s requirement.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lastRenderedPageBreak/>
        <w:t>7.6 Loan and Margin Money:</w:t>
      </w:r>
      <w:r w:rsidRPr="00BE0E8C">
        <w:rPr>
          <w:color w:val="000000"/>
        </w:rPr>
        <w:t> The Project Cost minus the beneficiary contribution (Margin Money) would be made available as loan amount to the group enterprise by the bank. No margin money should be taken for loan up to ₹ 50,000 and for higher amount loans, preferably 5% should be taken as margin money and it should in no case be more than 10% of the project cost.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78" w:tgtFrame="_blank" w:history="1">
        <w:r w:rsidRPr="00BE0E8C">
          <w:rPr>
            <w:rStyle w:val="Hyperlink"/>
          </w:rPr>
          <w:t>FIDD.FID.BC. No.06/12.01.033/2021-22 dated April 01, 2021</w:t>
        </w:r>
      </w:hyperlink>
      <w:r w:rsidRPr="00BE0E8C">
        <w:rPr>
          <w:color w:val="000000"/>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8.3 The banks will send the details of disbursed loan cases to the ULB along with the calculation details of the interest subsidy amount. The ULB will check the data at their end and will release the interest subsidy amount on monthly basis to the banks following a similar procedure as mentioned in Para 5.</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8.4 The ULB through its field staff or Resource Organization (ROs) will facilitate filling of loan applications for eligible SHGs to access credit from the banks. The ULB will be responsible to forward the Loan application of the SHGs to the concerned banks with requisite documentation. The ULB will maintain area wise, bank-wise, ROs/ Staff wise data of SHGs loan applications forwarded to the banks. The same will be sent to SULM on a monthly basis.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8.5 In order to ensure effective SHG-Bank Linkage under DAY-NULM, the SULM will monitor and review the progress with banks on regular basis and co-ordinate with SLBC for interest subsidy/ subvention on SHG Loans in the state. Active involvement of State level Bankers’ Committee (SLBC) and lead banks may be ensured for sensitization of bank and branch staff for financial inclusion of urban poor.</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lastRenderedPageBreak/>
        <w:t>8.6 It may be noted that the identification, selection, formation and monitoring of SHGs who are to get interest subvention would be the responsibility of State/ ULBs and banks would not be liable for wrong identification of SHGs who get interest subvention.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i) Outstanding balance shall not have remained in excess of the sanctioned limit/drawing power continuously for more than 30 days.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9.2 The SULM will compile all the reports received from respective ULBs and will communicate to Ministry of Housing and Urban Affairs (MoHUA) on a monthly basis.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10.2 In order to support the micro-entrepreneurs to meet their working capital and miscellaneous credit needs, DAY-NULM will facilitate access to Credit Cards or MUDRA Card through banks.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 xml:space="preserve">10.3 The SULM in consultation with the State Level Bankers Committee (SLBC) will finalize the norms, limits and specifications for issuance of Credit Card (or) MUDRA Card to the individual entrepreneurs. The General Credit Card Scheme (GCC), which is being implemented by all </w:t>
      </w:r>
      <w:r w:rsidRPr="00BE0E8C">
        <w:rPr>
          <w:color w:val="000000"/>
        </w:rPr>
        <w:lastRenderedPageBreak/>
        <w:t>scheduled commercial banks or any other variant of credit cards for enterprise development of banks in urban areas, may be explored by SULM and SLBC for the same. The Circular on revised GCC scheme has been issued by RBI notification vide </w:t>
      </w:r>
      <w:hyperlink r:id="rId79" w:tgtFrame="_blank" w:history="1">
        <w:r w:rsidRPr="00BE0E8C">
          <w:rPr>
            <w:rStyle w:val="Hyperlink"/>
          </w:rPr>
          <w:t>RPCD.MSME&amp;NFS.BC.No.61/06.02.31/2013-14 dated December 02, 2013</w:t>
        </w:r>
      </w:hyperlink>
      <w:r w:rsidRPr="00BE0E8C">
        <w:rPr>
          <w:color w:val="000000"/>
        </w:rPr>
        <w:t> available on RBI web-site ‘</w:t>
      </w:r>
      <w:hyperlink r:id="rId80" w:tgtFrame="_blank" w:history="1">
        <w:r w:rsidRPr="00BE0E8C">
          <w:rPr>
            <w:rStyle w:val="Hyperlink"/>
          </w:rPr>
          <w:t>www.rbi.org.in</w:t>
        </w:r>
      </w:hyperlink>
      <w:r w:rsidRPr="00BE0E8C">
        <w:rPr>
          <w:color w:val="000000"/>
        </w:rPr>
        <w: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(MoHUA) periodically.</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11.2 The City Livelihoods Centers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12.1 Funding under this component will be shared between the Centre and the States as per the general norms under DAY-NULM.</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19502A" w:rsidRPr="00BE0E8C" w:rsidRDefault="0019502A" w:rsidP="0019502A">
      <w:pPr>
        <w:pStyle w:val="head"/>
        <w:shd w:val="clear" w:color="auto" w:fill="FFFFFF"/>
        <w:spacing w:before="0" w:beforeAutospacing="0" w:after="0" w:afterAutospacing="0"/>
        <w:jc w:val="both"/>
        <w:rPr>
          <w:b/>
          <w:bCs/>
          <w:color w:val="000000"/>
        </w:rPr>
      </w:pPr>
    </w:p>
    <w:p w:rsidR="0019502A" w:rsidRPr="00BE0E8C" w:rsidRDefault="0019502A" w:rsidP="0019502A">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 xml:space="preserve">13.1 The State Mission Management Unit (SMMU) at the State level and City Mission Management Unit (CMMU) at the ULB level will closely monitor progress of activities / targets under this component, undertake reporting and evaluation. The SULM and the ULB/executing </w:t>
      </w:r>
      <w:r w:rsidRPr="00BE0E8C">
        <w:rPr>
          <w:color w:val="000000"/>
        </w:rPr>
        <w:lastRenderedPageBreak/>
        <w:t>agencies shall report timely progress in formats prescribed by the Mission Directorate from time-to-time, indicating the cumulative achievement monthly and up to the end of the quarter and key issues in implementation.</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13.6 To monitor progress of the targets vis-a-vis achievement under DAY-NULM, Banks are advised to furnish cumulative progress reports on quarterly basis as per enclosed proforma (</w:t>
      </w:r>
      <w:hyperlink r:id="rId81" w:tgtFrame="_blank" w:history="1">
        <w:r w:rsidRPr="00BE0E8C">
          <w:rPr>
            <w:rStyle w:val="Hyperlink"/>
          </w:rPr>
          <w:t>Annex I</w:t>
        </w:r>
      </w:hyperlink>
      <w:r w:rsidRPr="00BE0E8C">
        <w:rPr>
          <w:color w:val="000000"/>
        </w:rPr>
        <w:t> &amp; </w:t>
      </w:r>
      <w:hyperlink r:id="rId82" w:tgtFrame="_blank" w:history="1">
        <w:r w:rsidRPr="00BE0E8C">
          <w:rPr>
            <w:rStyle w:val="Hyperlink"/>
          </w:rPr>
          <w:t>II</w:t>
        </w:r>
      </w:hyperlink>
      <w:r w:rsidRPr="00BE0E8C">
        <w:rPr>
          <w:color w:val="000000"/>
        </w:rPr>
        <w:t>) to the Director, NULM as well as to RBI on </w:t>
      </w:r>
      <w:hyperlink r:id="rId83" w:history="1">
        <w:r w:rsidRPr="00BE0E8C">
          <w:rPr>
            <w:rStyle w:val="Hyperlink"/>
          </w:rPr>
          <w:t>email</w:t>
        </w:r>
      </w:hyperlink>
      <w:r w:rsidRPr="00BE0E8C">
        <w:rPr>
          <w:color w:val="000000"/>
        </w:rPr>
        <w:t> latest by the end of next month of the quarter to which they relate.</w:t>
      </w:r>
    </w:p>
    <w:p w:rsidR="0019502A" w:rsidRPr="00BE0E8C" w:rsidRDefault="0019502A" w:rsidP="0019502A">
      <w:pPr>
        <w:pStyle w:val="NormalWeb"/>
        <w:shd w:val="clear" w:color="auto" w:fill="FFFFFF"/>
        <w:spacing w:before="0" w:beforeAutospacing="0" w:after="0" w:afterAutospacing="0"/>
        <w:jc w:val="both"/>
        <w:rPr>
          <w:color w:val="000000"/>
        </w:rPr>
      </w:pPr>
      <w:r w:rsidRPr="00BE0E8C">
        <w:rPr>
          <w:color w:val="000000"/>
        </w:rPr>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19502A" w:rsidRPr="00BE0E8C" w:rsidRDefault="0019502A" w:rsidP="0019502A">
      <w:pPr>
        <w:pStyle w:val="NormalWeb"/>
        <w:shd w:val="clear" w:color="auto" w:fill="FFFFFF"/>
        <w:spacing w:before="0" w:beforeAutospacing="0" w:after="0" w:afterAutospacing="0"/>
        <w:jc w:val="both"/>
        <w:rPr>
          <w:color w:val="000000"/>
        </w:rPr>
      </w:pPr>
    </w:p>
    <w:p w:rsidR="00E8441C" w:rsidRDefault="003327B0" w:rsidP="0019502A">
      <w:pPr>
        <w:pBdr>
          <w:bottom w:val="single" w:sz="12" w:space="1" w:color="auto"/>
        </w:pBdr>
        <w:shd w:val="clear" w:color="auto" w:fill="FFFFFF"/>
        <w:spacing w:after="0" w:line="240" w:lineRule="auto"/>
        <w:jc w:val="both"/>
        <w:rPr>
          <w:rStyle w:val="Hyperlink"/>
        </w:rPr>
      </w:pPr>
      <w:hyperlink r:id="rId84" w:history="1">
        <w:r w:rsidR="0019502A" w:rsidRPr="00BE0E8C">
          <w:rPr>
            <w:rStyle w:val="Hyperlink"/>
          </w:rPr>
          <w:t>https://www.rbi.org.in/Scripts/NotificationUser.aspx?Id=12066&amp;Mode=0</w:t>
        </w:r>
      </w:hyperlink>
    </w:p>
    <w:p w:rsidR="00E65C74" w:rsidRPr="00BE0E8C" w:rsidRDefault="00E65C74" w:rsidP="00E65C74">
      <w:pPr>
        <w:pStyle w:val="NormalWeb"/>
        <w:shd w:val="clear" w:color="auto" w:fill="FFFFFF"/>
        <w:spacing w:before="0" w:beforeAutospacing="0" w:after="0" w:afterAutospacing="0"/>
        <w:jc w:val="both"/>
        <w:rPr>
          <w:color w:val="000000"/>
        </w:rPr>
      </w:pPr>
      <w:r>
        <w:rPr>
          <w:color w:val="000000"/>
        </w:rPr>
        <w:t>20.</w:t>
      </w:r>
      <w:r w:rsidRPr="00E65C74">
        <w:rPr>
          <w:b/>
          <w:bCs/>
          <w:color w:val="000000"/>
        </w:rPr>
        <w:t xml:space="preserve"> </w:t>
      </w:r>
      <w:r w:rsidRPr="00BE0E8C">
        <w:rPr>
          <w:b/>
          <w:bCs/>
          <w:color w:val="000000"/>
        </w:rPr>
        <w:t>Master Circular - Credit facilities to Scheduled Castes (SCs) &amp; Scheduled Tribes (STs)</w:t>
      </w:r>
    </w:p>
    <w:p w:rsidR="00E65C74" w:rsidRPr="00BE0E8C" w:rsidRDefault="00E65C74" w:rsidP="00E65C74">
      <w:pPr>
        <w:pStyle w:val="NormalWeb"/>
        <w:shd w:val="clear" w:color="auto" w:fill="FFFFFF"/>
        <w:spacing w:before="0" w:beforeAutospacing="0" w:after="0" w:afterAutospacing="0"/>
        <w:jc w:val="both"/>
        <w:rPr>
          <w:b/>
          <w:color w:val="000000"/>
        </w:rPr>
      </w:pPr>
    </w:p>
    <w:p w:rsidR="00E65C74" w:rsidRPr="00BE0E8C" w:rsidRDefault="00E65C74" w:rsidP="00E65C74">
      <w:pPr>
        <w:pStyle w:val="NormalWeb"/>
        <w:shd w:val="clear" w:color="auto" w:fill="FFFFFF"/>
        <w:spacing w:before="0" w:beforeAutospacing="0" w:after="0" w:afterAutospacing="0"/>
        <w:jc w:val="both"/>
        <w:rPr>
          <w:b/>
          <w:color w:val="000000"/>
        </w:rPr>
      </w:pPr>
      <w:r w:rsidRPr="00BE0E8C">
        <w:rPr>
          <w:b/>
          <w:color w:val="000000"/>
        </w:rPr>
        <w:t>RBI/2021-22/11 FIDD.CO.GSSD.BC.No.05/09.09.001/2021-22</w:t>
      </w:r>
      <w:r w:rsidRPr="00BE0E8C">
        <w:rPr>
          <w:b/>
          <w:color w:val="000000"/>
        </w:rPr>
        <w:tab/>
      </w:r>
      <w:r w:rsidRPr="00BE0E8C">
        <w:rPr>
          <w:b/>
          <w:color w:val="000000"/>
        </w:rPr>
        <w:tab/>
        <w:t>April 05, 2021</w:t>
      </w:r>
    </w:p>
    <w:p w:rsidR="00E65C74" w:rsidRPr="00BE0E8C" w:rsidRDefault="00E65C74" w:rsidP="00E65C74">
      <w:pPr>
        <w:pStyle w:val="NormalWeb"/>
        <w:shd w:val="clear" w:color="auto" w:fill="FFFFFF"/>
        <w:spacing w:before="0" w:beforeAutospacing="0" w:after="0" w:afterAutospacing="0"/>
        <w:jc w:val="both"/>
        <w:rPr>
          <w:i/>
          <w:color w:val="000000"/>
          <w:shd w:val="clear" w:color="auto" w:fill="FFFFFF"/>
        </w:rPr>
      </w:pPr>
    </w:p>
    <w:p w:rsidR="00E65C74" w:rsidRPr="00BE0E8C" w:rsidRDefault="00E65C74" w:rsidP="00E65C74">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Chairman &amp; Managing Director \ CEO, All Scheduled Commercial Banks &amp; Small Finance Banks</w:t>
      </w:r>
    </w:p>
    <w:p w:rsidR="00E65C74" w:rsidRPr="00BE0E8C" w:rsidRDefault="00E65C74" w:rsidP="00E65C74">
      <w:pPr>
        <w:pStyle w:val="NormalWeb"/>
        <w:shd w:val="clear" w:color="auto" w:fill="FFFFFF"/>
        <w:spacing w:before="0" w:beforeAutospacing="0" w:after="0" w:afterAutospacing="0"/>
        <w:jc w:val="both"/>
        <w:rPr>
          <w:color w:val="000000"/>
          <w:shd w:val="clear" w:color="auto" w:fill="FFFFFF"/>
        </w:rPr>
      </w:pPr>
    </w:p>
    <w:p w:rsidR="00E65C74" w:rsidRPr="00BE0E8C" w:rsidRDefault="00E65C74" w:rsidP="00E65C74">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85" w:tgtFrame="_blank" w:history="1">
        <w:r w:rsidRPr="00BE0E8C">
          <w:rPr>
            <w:rStyle w:val="Hyperlink"/>
            <w:shd w:val="clear" w:color="auto" w:fill="FFFFFF"/>
          </w:rPr>
          <w:t>Master Circular FIDD.CO.GSSD.BC.No.03/09.09.001/2019-20 dated July 01, 2019</w:t>
        </w:r>
      </w:hyperlink>
      <w:r w:rsidRPr="00BE0E8C">
        <w:rPr>
          <w:color w:val="000000"/>
          <w:shd w:val="clear" w:color="auto" w:fill="FFFFFF"/>
        </w:rPr>
        <w:t> consolidating guidelines / Instructions / directions issued to banks with regard to providing credit facilities to Scheduled Castes (SCs) and Scheduled Tribes (STs).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Banks should take the following measures to step up their advances to SCs / STs:</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1. Planning Process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lastRenderedPageBreak/>
        <w:t>1.1 The District Level Consultative Committees formed under the Lead Bank Scheme should continue to be the principal mechanism of co-ordination between banks and development agencies in this regard.</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1.2 The district credit plans formulated by the lead banks should clearly indicate the linkage of credit with employment and development schemes.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1.3 Banks will have to establish closer liaison with the District Industries Centres, which have been set up in different districts for promoting self-employment.</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1.4 At the block level, a certain weightage is to be given to scheduled castes / scheduled tribes in the planning process. Accordingly, the credit planning should be weighted in favour of scheduled castes / scheduled tribes and special bankable schemes suited to members of these communities should be drawn up to ensure their participation in such schemes and larger flow of credit to them for self-employment. It will be necessary for the banks to consider loan proposals of these communities with utmost sympathy and understanding.</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1.5 Banks should periodically review their lending procedures and policies to see that loans are sanctioned in time, are adequate and production-oriented and that they generate incremental income to make them self-liquidating.</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1.6 While 'adopting' villages for intensive lending, villages with sizeable population of these communities may be specially chosen; the alternative of adopting specific localities (bastis) in the concerned villages which have a concentration of these communities could also be considered.</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2. Role of Banks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2.1 Bank staff may help the poor borrowers in filling up the forms and completing other formalities so that they are able to get credit facility within a stipulated period from the date of receipt of applications.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2.2 In order to encourage SC / ST borrowers to take advantage of credit facilities, greater awareness among them about various schemes formulated by banks will have to be created. As a majority of the eligible borrowers would be illiterate persons, publicity through brochures, other literature, etc. will be of limited utility. The more desirable method would be for the field staff of banks to contact such borrowers and explain to them the salient features of the schemes as also the advantages that will accrue. Banks should advise their branches to organize meetings more frequently exclusively for SC / ST beneficiaries to understand their credit needs and to incorporate the same in the credit plan.</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2.3 Circulars issued by RBI / NABARD should be circulated among the staff for compliance.</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2.4 Banks should not insist on deposits while considering loan applications under Government sponsored poverty alleviation schemes / self-employment programmes from borrowers belonging to SCs / STs. It should also be ensured that applicable subsidy is not held back while releasing the loan component till the full repayment of bank dues. Non-release of subsidy upfront amounts to under-financing and hampers asset creation / income generation.</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2.5 The National Scheduled Tribes Finance &amp; Development Corporation and National Scheduled Castes Finance &amp; Development Corporation have been set up under the administrative control of Ministry of Tribal Affairs and Ministry of Social Justice &amp; Empowerment, respectively. The banks should advise their branches / controlling offices to render all the necessary institutional support to enable the institution to achieve the desired objectives.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 xml:space="preserve">2.6 Advances sanctioned to State sponsored organizations of SC / ST, for the specific purpose of purchase and supply of inputs to and / or the marketing of outputs of the beneficiaries viz. artisans, village and cottage industries of these organizations, should be treated as Priority Sector Advances, </w:t>
      </w:r>
      <w:r w:rsidRPr="00BE0E8C">
        <w:rPr>
          <w:color w:val="000000"/>
        </w:rPr>
        <w:lastRenderedPageBreak/>
        <w:t>subject to the condition that the relative advances are exclusively for the purpose of purchase and supply of inputs to and / or marketing of the outputs of beneficiaries of these organizations.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2.7 Rejection of loan applications in respect of SCs / STs should be done at the next higher level instead of at the branch level and reasons of rejection should be clearly indicated.</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3. Role of SC / ST Development Corporations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The Government of India has advised all State Governments that the Scheduled Caste/ Tribes Development Corporations can consider bankable schemes / proposals for bank finance. As regards Collateral Security and / or third-party guarantee for loans, guidelines issued to banks on priority sector lending will apply.</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4. Reservations for SC / ST Beneficiaries under Major Centrally Sponsored Schemes.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There are several major centrally sponsored schemes under which credit is provided by banks and subsidy is received through Government Agencies. Credit flow under these schemes is monitored by RBI. Under each of these, there is a significant reservation / relaxation for the members of the SC / ST communities.</w:t>
      </w:r>
    </w:p>
    <w:p w:rsidR="00E65C74" w:rsidRPr="00BE0E8C" w:rsidRDefault="00E65C74" w:rsidP="00E65C74">
      <w:pPr>
        <w:pStyle w:val="NormalWeb"/>
        <w:numPr>
          <w:ilvl w:val="0"/>
          <w:numId w:val="13"/>
        </w:numPr>
        <w:shd w:val="clear" w:color="auto" w:fill="FFFFFF"/>
        <w:spacing w:before="0" w:beforeAutospacing="0" w:after="0" w:afterAutospacing="0"/>
        <w:jc w:val="both"/>
        <w:rPr>
          <w:color w:val="000000"/>
        </w:rPr>
      </w:pPr>
      <w:r w:rsidRPr="00BE0E8C">
        <w:rPr>
          <w:color w:val="000000"/>
          <w:u w:val="single"/>
        </w:rPr>
        <w:t>Deendayal Antyodaya Yojana - National Rural Livelihoods Mission:</w:t>
      </w:r>
    </w:p>
    <w:p w:rsidR="00E65C74" w:rsidRPr="00BE0E8C" w:rsidRDefault="00E65C74" w:rsidP="00E65C74">
      <w:pPr>
        <w:pStyle w:val="NormalWeb"/>
        <w:shd w:val="clear" w:color="auto" w:fill="FFFFFF"/>
        <w:spacing w:before="0" w:beforeAutospacing="0" w:after="0" w:afterAutospacing="0"/>
        <w:ind w:left="720"/>
        <w:jc w:val="both"/>
        <w:rPr>
          <w:color w:val="000000"/>
        </w:rPr>
      </w:pPr>
      <w:r w:rsidRPr="00BE0E8C">
        <w:rPr>
          <w:color w:val="000000"/>
        </w:rPr>
        <w:t>The Ministry of Rural Development, Government of India has launched Deendayal Antyodaya Yojana-National Rural Livelihoods Mission (DAY-NRLM) by restructuring erstwhile Swarnajayanti Gram Swarozgar Yojana, effective from April 01, 2013. DAY-NRLM would ensure adequate coverage of vulnerable sections of the society such that 50% of these beneficiaries are SC/STs. Details of the scheme are available in the Master Circular on NRLM (</w:t>
      </w:r>
      <w:hyperlink r:id="rId86" w:tgtFrame="_blank" w:history="1">
        <w:r w:rsidRPr="00BE0E8C">
          <w:rPr>
            <w:rStyle w:val="Hyperlink"/>
          </w:rPr>
          <w:t>FIDD.GSSD.CO.BC.No 04/09.01.01/2021-22 dated April 01, 2021</w:t>
        </w:r>
      </w:hyperlink>
      <w:r w:rsidRPr="00BE0E8C">
        <w:rPr>
          <w:color w:val="000000"/>
        </w:rPr>
        <w:t>).</w:t>
      </w:r>
    </w:p>
    <w:p w:rsidR="00E65C74" w:rsidRPr="00BE0E8C" w:rsidRDefault="00E65C74" w:rsidP="00E65C74">
      <w:pPr>
        <w:pStyle w:val="NormalWeb"/>
        <w:numPr>
          <w:ilvl w:val="0"/>
          <w:numId w:val="13"/>
        </w:numPr>
        <w:shd w:val="clear" w:color="auto" w:fill="FFFFFF"/>
        <w:spacing w:before="0" w:beforeAutospacing="0" w:after="0" w:afterAutospacing="0"/>
        <w:jc w:val="both"/>
        <w:rPr>
          <w:color w:val="000000"/>
        </w:rPr>
      </w:pPr>
      <w:r w:rsidRPr="00BE0E8C">
        <w:rPr>
          <w:color w:val="000000"/>
          <w:u w:val="single"/>
        </w:rPr>
        <w:t>Deendayal Antyodaya Yojana - National Urban Livelihoods Mission:</w:t>
      </w:r>
    </w:p>
    <w:p w:rsidR="00E65C74" w:rsidRPr="00BE0E8C" w:rsidRDefault="00E65C74" w:rsidP="00E65C74">
      <w:pPr>
        <w:pStyle w:val="NormalWeb"/>
        <w:shd w:val="clear" w:color="auto" w:fill="FFFFFF"/>
        <w:spacing w:before="0" w:beforeAutospacing="0" w:after="0" w:afterAutospacing="0"/>
        <w:ind w:left="720"/>
        <w:jc w:val="both"/>
        <w:rPr>
          <w:color w:val="000000"/>
        </w:rPr>
      </w:pPr>
      <w:r w:rsidRPr="00BE0E8C">
        <w:rPr>
          <w:color w:val="000000"/>
        </w:rPr>
        <w:t>The Ministry of Housing and Urban Affairs (MoHUA), Government of India, has launched the Deendayal Antyodaya Yojana - National Urban Livelihoods Mission (DAY-NULM) by restructuring erstwhile Swarna Jayanti Shahari Rozgar Yojana (SJSRY), effective from September 24, 2013, Under DAY-NULM, advances should be extended to SCs / STs to the extent of their strength in the local population. Details of the scheme are available in the Master Circular on DAY-NULM (</w:t>
      </w:r>
      <w:hyperlink r:id="rId87" w:tgtFrame="_blank" w:history="1">
        <w:r w:rsidRPr="00BE0E8C">
          <w:rPr>
            <w:rStyle w:val="Hyperlink"/>
          </w:rPr>
          <w:t>FIDD.GSSD.CO.BC.No.03/09.16.03/2021-22 dated April 05, 2021</w:t>
        </w:r>
      </w:hyperlink>
      <w:r w:rsidRPr="00BE0E8C">
        <w:rPr>
          <w:color w:val="000000"/>
        </w:rPr>
        <w:t>).</w:t>
      </w:r>
    </w:p>
    <w:p w:rsidR="00E65C74" w:rsidRPr="00BE0E8C" w:rsidRDefault="00E65C74" w:rsidP="00E65C74">
      <w:pPr>
        <w:pStyle w:val="NormalWeb"/>
        <w:numPr>
          <w:ilvl w:val="0"/>
          <w:numId w:val="13"/>
        </w:numPr>
        <w:shd w:val="clear" w:color="auto" w:fill="FFFFFF"/>
        <w:spacing w:before="0" w:beforeAutospacing="0" w:after="0" w:afterAutospacing="0"/>
        <w:jc w:val="both"/>
        <w:rPr>
          <w:color w:val="000000"/>
        </w:rPr>
      </w:pPr>
      <w:r w:rsidRPr="00BE0E8C">
        <w:rPr>
          <w:color w:val="000000"/>
          <w:u w:val="single"/>
        </w:rPr>
        <w:t>Differential Rate of Interest Scheme</w:t>
      </w:r>
    </w:p>
    <w:p w:rsidR="00E65C74" w:rsidRPr="00BE0E8C" w:rsidRDefault="00E65C74" w:rsidP="00E65C74">
      <w:pPr>
        <w:pStyle w:val="NormalWeb"/>
        <w:shd w:val="clear" w:color="auto" w:fill="FFFFFF"/>
        <w:spacing w:before="0" w:beforeAutospacing="0" w:after="0" w:afterAutospacing="0"/>
        <w:ind w:left="720"/>
        <w:jc w:val="both"/>
        <w:rPr>
          <w:color w:val="000000"/>
        </w:rPr>
      </w:pPr>
      <w:r w:rsidRPr="00BE0E8C">
        <w:rPr>
          <w:color w:val="000000"/>
        </w:rPr>
        <w:t>Under the DRI Scheme, banks provide finance up to ₹15,000/- at a concessional rate of interest of 4 percent per annum to the weaker sections of the community for engaging in productive and gainful activities. In order to ensure that persons belonging to SCs / STs also derive adequate benefit under the Differential Rate of Interest (DRI) Scheme, banks have been advised to grant to eligible borrowers belonging to SCs / STs such advances to the extent of not less than 2/5th (40 percent) of total DRI advances. Further, the eligibility criteria under DRI that size of land holding should not exceed 1 acre of irrigated land and 2.5 acres of unirrigated land are not applicable to SCs / STs. Members of SCs / STs satisfying the income criteria of the scheme can also avail of housing loan up to ₹20,000/- per beneficiary over and above the individual loan of ₹15,000/- available under the scheme.</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5. Credit Enhancement Guarantee Scheme for Scheduled Castes (CEGSSC)</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lastRenderedPageBreak/>
        <w:t>The CEGSSC was launched by Ministry of Social Justice &amp; Empowerment on 6th May, 2015 with the objective to promote entrepreneurship amongst the Scheduled Castes (SCs), by providing Credit Enhancement Guarantee to Member Lending Institutions (MLIs), who shall be providing financial assistance to these entrepreneurs. IFCI Ltd. has been designated as the Nodal Agency under the scheme, to issue the guarantee cover in favour of MLIs, who shall be encouraged to finance SCs entrepreneurs to boost entrepreneurship amongst the marginal strata of the society.</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Eligibility: Registered Companies and Societies/Registered Partnership Firms/Sole Proprietorship firms/Individual SC Entrepreneur having more than 51% shareholding by SC entrepreneurs/promoters/members with the management control for the past 6 months are eligible for guarantee from IFCI Ltd. against the loans extended by MLIs Bank / Institutions.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Amount of Guarantee cover under CEGSSC- Min ₹ 0.15 Cr. &amp; Max. ₹ 5.00 Cr</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Tenure of Guarantee – Max. 7 years or repayment period whichever is earlier.</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6. Monitoring and Review</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6.1 A special cell should be set up at the Head Office of banks for monitoring the flow of credit to SC / ST beneficiaries. Apart from ensuring the implementation of the RBI guidelines, the cell would also be responsible for collection of relevant information / data from the branches, consolidation thereof and submission of the requisite returns to RBI and Government.</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6.2 SLBC convenor Bank should invite the representative of National Commission for SCs / STs to attend SLBC meetings. Besides, the Convener bank may also invite representatives from National Scheduled Castes and Scheduled Tribes Finance and Development Corporation (NSFDC) and State Scheduled Castes and Scheduled Tribes Finance and Development Corporation (SCDC) to attend SLBC meetings.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6.3 A periodical review should be made by the Head Office of banks of the credit extended to SCs / STs on the basis of returns and other data received from the branches.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6.4 Bank should review the measures taken to enhance the flow of credit to SC / ST borrowers on a quarterly basis. The Review should also consider the progress made in lending to these communities directly or through the State Level Scheduled Caste / Scheduled Tribe Corporations for various purposes based, amongst others, on field visits of the senior officers from the Head Office / Controlling Offices. Any major gap or variation in credit flow to SC/ST on a year to year basis should be reported to Board of the Bank for review under the themes of “Financial Inclusion” in term of </w:t>
      </w:r>
      <w:hyperlink r:id="rId88" w:tgtFrame="_blank" w:history="1">
        <w:r w:rsidRPr="00BE0E8C">
          <w:rPr>
            <w:rStyle w:val="Hyperlink"/>
          </w:rPr>
          <w:t>circular DBR No.BC.93/29.67.001/2014-15 dated May14, 2015</w:t>
        </w:r>
      </w:hyperlink>
      <w:r w:rsidRPr="00BE0E8C">
        <w:rPr>
          <w:color w:val="000000"/>
        </w:rPr>
        <w:t>.</w:t>
      </w:r>
    </w:p>
    <w:p w:rsidR="00E65C74" w:rsidRPr="00BE0E8C" w:rsidRDefault="00E65C74" w:rsidP="00E65C74">
      <w:pPr>
        <w:pStyle w:val="head"/>
        <w:shd w:val="clear" w:color="auto" w:fill="FFFFFF"/>
        <w:spacing w:before="0" w:beforeAutospacing="0" w:after="0" w:afterAutospacing="0"/>
        <w:jc w:val="both"/>
        <w:rPr>
          <w:b/>
          <w:bCs/>
          <w:color w:val="000000"/>
        </w:rPr>
      </w:pPr>
    </w:p>
    <w:p w:rsidR="00E65C74" w:rsidRPr="00BE0E8C" w:rsidRDefault="00E65C74" w:rsidP="00E65C74">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E65C74" w:rsidRPr="00BE0E8C" w:rsidRDefault="00E65C74" w:rsidP="00E65C74">
      <w:pPr>
        <w:pStyle w:val="NormalWeb"/>
        <w:shd w:val="clear" w:color="auto" w:fill="FFFFFF"/>
        <w:spacing w:before="0" w:beforeAutospacing="0" w:after="0" w:afterAutospacing="0"/>
        <w:jc w:val="both"/>
        <w:rPr>
          <w:color w:val="000000"/>
        </w:rPr>
      </w:pPr>
      <w:r w:rsidRPr="00BE0E8C">
        <w:rPr>
          <w:color w:val="000000"/>
        </w:rPr>
        <w:t>Data on advances to SCs and STs should be reported as prescribed in Master Direction under Priority sector lending vide </w:t>
      </w:r>
      <w:hyperlink r:id="rId89" w:tgtFrame="_blank" w:history="1">
        <w:r w:rsidRPr="00BE0E8C">
          <w:rPr>
            <w:rStyle w:val="Hyperlink"/>
          </w:rPr>
          <w:t>Master Direction FIDD.CO.Plan.5/04.09.01/2020-21 dated September 04, 2020</w:t>
        </w:r>
      </w:hyperlink>
      <w:r w:rsidRPr="00BE0E8C">
        <w:rPr>
          <w:color w:val="000000"/>
        </w:rPr>
        <w:t>. Banks are advised to submit the same in a timely manner.</w:t>
      </w:r>
    </w:p>
    <w:p w:rsidR="00E65C74" w:rsidRPr="00BE0E8C" w:rsidRDefault="00E65C74" w:rsidP="00E65C74">
      <w:pPr>
        <w:pStyle w:val="NormalWeb"/>
        <w:shd w:val="clear" w:color="auto" w:fill="FFFFFF"/>
        <w:spacing w:before="0" w:beforeAutospacing="0" w:after="0" w:afterAutospacing="0"/>
        <w:jc w:val="both"/>
        <w:rPr>
          <w:color w:val="000000"/>
        </w:rPr>
      </w:pPr>
    </w:p>
    <w:p w:rsidR="0019502A" w:rsidRDefault="003327B0" w:rsidP="00E65C74">
      <w:pPr>
        <w:pBdr>
          <w:bottom w:val="single" w:sz="12" w:space="1" w:color="auto"/>
        </w:pBdr>
        <w:shd w:val="clear" w:color="auto" w:fill="FFFFFF"/>
        <w:spacing w:after="0" w:line="240" w:lineRule="auto"/>
        <w:jc w:val="both"/>
        <w:rPr>
          <w:rStyle w:val="Hyperlink"/>
        </w:rPr>
      </w:pPr>
      <w:hyperlink r:id="rId90" w:history="1">
        <w:r w:rsidR="00E65C74" w:rsidRPr="00BE0E8C">
          <w:rPr>
            <w:rStyle w:val="Hyperlink"/>
          </w:rPr>
          <w:t>https://www.rbi.org.in/Scripts/NotificationUser.aspx?Id=12065&amp;Mode=0</w:t>
        </w:r>
      </w:hyperlink>
    </w:p>
    <w:p w:rsidR="002E576A" w:rsidRPr="00BE0E8C" w:rsidRDefault="002E576A" w:rsidP="002E576A">
      <w:pPr>
        <w:pStyle w:val="NormalWeb"/>
        <w:shd w:val="clear" w:color="auto" w:fill="FFFFFF"/>
        <w:spacing w:before="0" w:beforeAutospacing="0" w:after="0" w:afterAutospacing="0"/>
        <w:jc w:val="both"/>
        <w:rPr>
          <w:b/>
          <w:bCs/>
          <w:color w:val="000000"/>
        </w:rPr>
      </w:pPr>
      <w:r>
        <w:rPr>
          <w:color w:val="000000"/>
        </w:rPr>
        <w:t xml:space="preserve">21. </w:t>
      </w:r>
      <w:r w:rsidRPr="00BE0E8C">
        <w:rPr>
          <w:b/>
          <w:bCs/>
          <w:color w:val="000000"/>
        </w:rPr>
        <w:t>Master Circular on SHG-Bank Linkage Programme</w:t>
      </w:r>
    </w:p>
    <w:p w:rsidR="002E576A" w:rsidRPr="00BE0E8C" w:rsidRDefault="002E576A" w:rsidP="002E576A">
      <w:pPr>
        <w:pStyle w:val="NormalWeb"/>
        <w:shd w:val="clear" w:color="auto" w:fill="FFFFFF"/>
        <w:spacing w:before="0" w:beforeAutospacing="0" w:after="0" w:afterAutospacing="0"/>
        <w:jc w:val="both"/>
        <w:rPr>
          <w:b/>
          <w:color w:val="000000"/>
        </w:rPr>
      </w:pPr>
    </w:p>
    <w:p w:rsidR="002E576A" w:rsidRPr="00BE0E8C" w:rsidRDefault="002E576A" w:rsidP="002E576A">
      <w:pPr>
        <w:pStyle w:val="NormalWeb"/>
        <w:shd w:val="clear" w:color="auto" w:fill="FFFFFF"/>
        <w:spacing w:before="0" w:beforeAutospacing="0" w:after="0" w:afterAutospacing="0"/>
        <w:jc w:val="both"/>
        <w:rPr>
          <w:b/>
          <w:color w:val="000000"/>
        </w:rPr>
      </w:pPr>
      <w:r w:rsidRPr="00BE0E8C">
        <w:rPr>
          <w:b/>
          <w:color w:val="000000"/>
        </w:rPr>
        <w:t xml:space="preserve">RBI/2021-22/09 FIDD.CO.FID.BC.No.06/12.01.033/2021-22 </w:t>
      </w:r>
      <w:r w:rsidRPr="00BE0E8C">
        <w:rPr>
          <w:b/>
          <w:color w:val="000000"/>
        </w:rPr>
        <w:tab/>
      </w:r>
      <w:r w:rsidRPr="00BE0E8C">
        <w:rPr>
          <w:b/>
          <w:color w:val="000000"/>
        </w:rPr>
        <w:tab/>
        <w:t>April 01, 2021</w:t>
      </w:r>
    </w:p>
    <w:p w:rsidR="002E576A" w:rsidRPr="00BE0E8C" w:rsidRDefault="002E576A" w:rsidP="002E576A">
      <w:pPr>
        <w:pStyle w:val="NormalWeb"/>
        <w:shd w:val="clear" w:color="auto" w:fill="FFFFFF"/>
        <w:spacing w:before="0" w:beforeAutospacing="0" w:after="0" w:afterAutospacing="0"/>
        <w:jc w:val="both"/>
        <w:rPr>
          <w:i/>
          <w:color w:val="000000"/>
        </w:rPr>
      </w:pPr>
    </w:p>
    <w:p w:rsidR="002E576A" w:rsidRPr="00BE0E8C" w:rsidRDefault="002E576A" w:rsidP="002E576A">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w:t>
      </w:r>
    </w:p>
    <w:p w:rsidR="002E576A" w:rsidRPr="00BE0E8C" w:rsidRDefault="002E576A" w:rsidP="002E576A">
      <w:pPr>
        <w:pStyle w:val="NormalWeb"/>
        <w:shd w:val="clear" w:color="auto" w:fill="FFFFFF"/>
        <w:spacing w:before="0" w:beforeAutospacing="0" w:after="0" w:afterAutospacing="0"/>
        <w:jc w:val="both"/>
        <w:rPr>
          <w:color w:val="000000"/>
          <w:shd w:val="clear" w:color="auto" w:fill="FFFFFF"/>
        </w:rPr>
      </w:pPr>
    </w:p>
    <w:p w:rsidR="002E576A" w:rsidRPr="00BE0E8C" w:rsidRDefault="002E576A" w:rsidP="002E576A">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lastRenderedPageBreak/>
        <w:t xml:space="preserve">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w:t>
      </w:r>
    </w:p>
    <w:p w:rsidR="002E576A" w:rsidRPr="00BE0E8C" w:rsidRDefault="002E576A" w:rsidP="002E576A">
      <w:pPr>
        <w:pStyle w:val="NormalWeb"/>
        <w:shd w:val="clear" w:color="auto" w:fill="FFFFFF"/>
        <w:spacing w:before="0" w:beforeAutospacing="0" w:after="0" w:afterAutospacing="0"/>
        <w:jc w:val="both"/>
        <w:rPr>
          <w:color w:val="000000"/>
        </w:rPr>
      </w:pP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Self Help Groups have the potential to bring together the formal banking structure and the rural poor for mutual benefit. Studies conducted by NABARD in a few states to assess the impact of the linkage 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rsidR="002E576A" w:rsidRPr="00BE0E8C" w:rsidRDefault="002E576A" w:rsidP="002E576A">
      <w:pPr>
        <w:pStyle w:val="NormalWeb"/>
        <w:shd w:val="clear" w:color="auto" w:fill="FFFFFF"/>
        <w:spacing w:before="0" w:beforeAutospacing="0" w:after="0" w:afterAutospacing="0"/>
        <w:jc w:val="both"/>
        <w:rPr>
          <w:color w:val="000000"/>
        </w:rPr>
      </w:pP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2. Recognizing the importance of SHG Bank linkage, banks have been advised to meet the entire credit requirements of SHG members, as envisaged in Paragraph 93 of the Union Budget announcement for the year 2008-09, made by the Honorable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rsidR="002E576A" w:rsidRPr="00BE0E8C" w:rsidRDefault="002E576A" w:rsidP="002E576A">
      <w:pPr>
        <w:pStyle w:val="NormalWeb"/>
        <w:shd w:val="clear" w:color="auto" w:fill="FFFFFF"/>
        <w:spacing w:before="0" w:beforeAutospacing="0" w:after="0" w:afterAutospacing="0"/>
        <w:jc w:val="both"/>
        <w:rPr>
          <w:color w:val="000000"/>
        </w:rPr>
      </w:pP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4. Opening of Savings Bank A/C</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The SHGs, registered or unregistered, which are engaged in promoting savings habit among their members are eligible to open savings bank accounts with banks. These SHGs need not necessarily have already availed of credit facilities from banks before opening savings bank accounts. The instructions on simplified Customer Due Diligence (CDD) applicable to SHGs as prescribed in Part VI of the </w:t>
      </w:r>
      <w:hyperlink r:id="rId91" w:tgtFrame="_blank" w:history="1">
        <w:r w:rsidRPr="00BE0E8C">
          <w:rPr>
            <w:rStyle w:val="Hyperlink"/>
          </w:rPr>
          <w:t>Master Direction - Know Your Customer (KYC) Direction, 2016</w:t>
        </w:r>
      </w:hyperlink>
      <w:r w:rsidRPr="00BE0E8C">
        <w:rPr>
          <w:color w:val="000000"/>
        </w:rPr>
        <w:t> (as updated from time to time) shall be adhered to.</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5. Lending to SHGs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lastRenderedPageBreak/>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6. Interest rates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The banks would have the discretion to decide on the interest rates applicable to loans given to Self Help Groups/member beneficiaries, subject to regulatory guidelines on interest rate on advances contained in Master Direction - Reserve Bank of India (Interest Rate on Advances) Directions, 2016 issued vide </w:t>
      </w:r>
      <w:hyperlink r:id="rId92" w:tgtFrame="_blank" w:history="1">
        <w:r w:rsidRPr="00BE0E8C">
          <w:rPr>
            <w:rStyle w:val="Hyperlink"/>
          </w:rPr>
          <w:t>DBR.Dir.No.85/13.03.00/2015-16 dated March 3, 2016</w:t>
        </w:r>
      </w:hyperlink>
      <w:r w:rsidRPr="00BE0E8C">
        <w:rPr>
          <w:color w:val="000000"/>
        </w:rPr>
        <w:t>, as amended from time to time.</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7. Service/ Processing charges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No loan related and ad hoc service charges/inspection charges should be levied on priority sector loans up to ₹ 25,000. In the case of eligible priority sector loans to SHGs/ JLGs, this limit will be applicable per member and not to the group as a whole.</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8. Separate Segment under priority sector</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Loans to SHGs are allowed to be classified under Priority Sector Lending (PSL) under the respective categories viz Agriculture, MSME, Social Infrastructure and others, subject to extant guidelines of Master Directions – Priority Sector Lending (PSL) – Targets and Classification issued vide </w:t>
      </w:r>
      <w:hyperlink r:id="rId93" w:tgtFrame="_blank" w:history="1">
        <w:r w:rsidRPr="00BE0E8C">
          <w:rPr>
            <w:rStyle w:val="Hyperlink"/>
          </w:rPr>
          <w:t>Master Directions FIDD.CO.Plan.BC.5/04.09.01/2020-21 dated September 4, 2020</w:t>
        </w:r>
      </w:hyperlink>
      <w:r w:rsidRPr="00BE0E8C">
        <w:rPr>
          <w:color w:val="000000"/>
        </w:rPr>
        <w:t>, as amended from time to time.</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9. Presence of defaulters in SHGs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10. Capacity Building and Training</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b) Banks shall refer to instructions on Financial Literacy by FLCs and rural branches – Policy review vide </w:t>
      </w:r>
      <w:hyperlink r:id="rId94" w:tgtFrame="_blank" w:history="1">
        <w:r w:rsidRPr="00BE0E8C">
          <w:rPr>
            <w:rStyle w:val="Hyperlink"/>
          </w:rPr>
          <w:t>Circular FIDD.FLC.BC.No.22/12.01.018/2016-17 dated March 02, 2017</w:t>
        </w:r>
      </w:hyperlink>
      <w:r w:rsidRPr="00BE0E8C">
        <w:rPr>
          <w:color w:val="000000"/>
        </w:rPr>
        <w:t> conducting tailored programs targeting </w:t>
      </w:r>
      <w:hyperlink r:id="rId95" w:tgtFrame="_blank" w:history="1">
        <w:r w:rsidRPr="00BE0E8C">
          <w:rPr>
            <w:rStyle w:val="Hyperlink"/>
          </w:rPr>
          <w:t>SHGs</w:t>
        </w:r>
      </w:hyperlink>
      <w:r w:rsidRPr="00BE0E8C">
        <w:rPr>
          <w:color w:val="000000"/>
        </w:rPr>
        <w:t>.</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11. Monitoring and Review of SHG Lending</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lastRenderedPageBreak/>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96" w:tgtFrame="_blank" w:history="1">
        <w:r w:rsidRPr="00BE0E8C">
          <w:rPr>
            <w:rStyle w:val="Hyperlink"/>
          </w:rPr>
          <w:t>prescribed format</w:t>
        </w:r>
      </w:hyperlink>
      <w:r w:rsidRPr="00BE0E8C">
        <w:rPr>
          <w:color w:val="000000"/>
        </w:rPr>
        <w:t> shall be submitted within 15 days from due date.</w:t>
      </w:r>
    </w:p>
    <w:p w:rsidR="002E576A" w:rsidRPr="00BE0E8C" w:rsidRDefault="002E576A" w:rsidP="002E576A">
      <w:pPr>
        <w:pStyle w:val="head"/>
        <w:shd w:val="clear" w:color="auto" w:fill="FFFFFF"/>
        <w:spacing w:before="0" w:beforeAutospacing="0" w:after="0" w:afterAutospacing="0"/>
        <w:jc w:val="both"/>
        <w:rPr>
          <w:b/>
          <w:bCs/>
          <w:color w:val="000000"/>
        </w:rPr>
      </w:pPr>
    </w:p>
    <w:p w:rsidR="002E576A" w:rsidRPr="00BE0E8C" w:rsidRDefault="002E576A" w:rsidP="002E576A">
      <w:pPr>
        <w:pStyle w:val="head"/>
        <w:shd w:val="clear" w:color="auto" w:fill="FFFFFF"/>
        <w:spacing w:before="0" w:beforeAutospacing="0" w:after="0" w:afterAutospacing="0"/>
        <w:jc w:val="both"/>
        <w:rPr>
          <w:b/>
          <w:bCs/>
          <w:color w:val="000000"/>
        </w:rPr>
      </w:pPr>
      <w:r w:rsidRPr="00BE0E8C">
        <w:rPr>
          <w:b/>
          <w:bCs/>
          <w:color w:val="000000"/>
        </w:rPr>
        <w:t>12. Reporting to CICs</w:t>
      </w:r>
    </w:p>
    <w:p w:rsidR="002E576A" w:rsidRPr="00BE0E8C" w:rsidRDefault="002E576A" w:rsidP="002E576A">
      <w:pPr>
        <w:pStyle w:val="NormalWeb"/>
        <w:shd w:val="clear" w:color="auto" w:fill="FFFFFF"/>
        <w:spacing w:before="0" w:beforeAutospacing="0" w:after="0" w:afterAutospacing="0"/>
        <w:jc w:val="both"/>
        <w:rPr>
          <w:color w:val="000000"/>
        </w:rPr>
      </w:pPr>
      <w:r w:rsidRPr="00BE0E8C">
        <w:rPr>
          <w:color w:val="000000"/>
        </w:rPr>
        <w:t>Recognizing the importance of credit information reporting in respect of the SHG members for financial inclusion, banks are advised to adhere to the guidelines on </w:t>
      </w:r>
      <w:hyperlink r:id="rId97" w:tgtFrame="_blank" w:history="1">
        <w:r w:rsidRPr="00BE0E8C">
          <w:rPr>
            <w:rStyle w:val="Hyperlink"/>
          </w:rPr>
          <w:t>Credit information reporting in respect of Self Help Group (SHG) members dated June 16, 2016</w:t>
        </w:r>
      </w:hyperlink>
      <w:r w:rsidRPr="00BE0E8C">
        <w:rPr>
          <w:color w:val="000000"/>
        </w:rPr>
        <w:t> and </w:t>
      </w:r>
      <w:hyperlink r:id="rId98" w:tgtFrame="_blank" w:history="1">
        <w:r w:rsidRPr="00BE0E8C">
          <w:rPr>
            <w:rStyle w:val="Hyperlink"/>
          </w:rPr>
          <w:t>Credit information reporting in respect of Self Help Group (SHG) members dated January 14, 2016</w:t>
        </w:r>
      </w:hyperlink>
      <w:r w:rsidRPr="00BE0E8C">
        <w:rPr>
          <w:color w:val="000000"/>
        </w:rPr>
        <w:t>.</w:t>
      </w:r>
    </w:p>
    <w:p w:rsidR="002E576A" w:rsidRPr="00BE0E8C" w:rsidRDefault="002E576A" w:rsidP="002E576A">
      <w:pPr>
        <w:pStyle w:val="NormalWeb"/>
        <w:shd w:val="clear" w:color="auto" w:fill="FFFFFF"/>
        <w:spacing w:before="0" w:beforeAutospacing="0" w:after="0" w:afterAutospacing="0"/>
        <w:jc w:val="both"/>
        <w:rPr>
          <w:color w:val="000000"/>
        </w:rPr>
      </w:pPr>
    </w:p>
    <w:p w:rsidR="0041310C" w:rsidRDefault="003327B0" w:rsidP="002E576A">
      <w:pPr>
        <w:pBdr>
          <w:bottom w:val="single" w:sz="12" w:space="1" w:color="auto"/>
        </w:pBdr>
        <w:shd w:val="clear" w:color="auto" w:fill="FFFFFF"/>
        <w:spacing w:after="0" w:line="240" w:lineRule="auto"/>
        <w:jc w:val="both"/>
        <w:rPr>
          <w:rStyle w:val="Hyperlink"/>
        </w:rPr>
      </w:pPr>
      <w:hyperlink r:id="rId99" w:history="1">
        <w:r w:rsidR="002E576A" w:rsidRPr="00BE0E8C">
          <w:rPr>
            <w:rStyle w:val="Hyperlink"/>
          </w:rPr>
          <w:t>https://www.rbi.org.in/Scripts/NotificationUser.aspx?Id=12063&amp;Mode=0</w:t>
        </w:r>
      </w:hyperlink>
    </w:p>
    <w:p w:rsidR="002E576A" w:rsidRPr="00BE0E8C" w:rsidRDefault="002E576A" w:rsidP="002E576A">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62046" w:rsidRPr="00BE0E8C" w:rsidRDefault="00F62046" w:rsidP="00F62046">
      <w:pPr>
        <w:pStyle w:val="NormalWeb"/>
        <w:shd w:val="clear" w:color="auto" w:fill="FFFFFF"/>
        <w:spacing w:before="0" w:beforeAutospacing="0" w:after="0" w:afterAutospacing="0"/>
        <w:jc w:val="both"/>
        <w:rPr>
          <w:b/>
          <w:bCs/>
          <w:color w:val="000000"/>
        </w:rPr>
      </w:pPr>
      <w:r>
        <w:rPr>
          <w:b/>
          <w:color w:val="000000"/>
        </w:rPr>
        <w:t>22.</w:t>
      </w:r>
      <w:r w:rsidRPr="00F62046">
        <w:rPr>
          <w:b/>
          <w:bCs/>
          <w:color w:val="000000"/>
        </w:rPr>
        <w:t xml:space="preserve"> </w:t>
      </w:r>
      <w:r w:rsidRPr="00BE0E8C">
        <w:rPr>
          <w:b/>
          <w:bCs/>
          <w:color w:val="000000"/>
        </w:rPr>
        <w:t>Master Circular – Deendayal Antyodaya Yojana - National Rural Livelihoods Mission (DAY-NRLM)</w:t>
      </w:r>
    </w:p>
    <w:p w:rsidR="00F62046" w:rsidRPr="00BE0E8C" w:rsidRDefault="00F62046" w:rsidP="00F62046">
      <w:pPr>
        <w:pStyle w:val="NormalWeb"/>
        <w:shd w:val="clear" w:color="auto" w:fill="FFFFFF"/>
        <w:spacing w:before="0" w:beforeAutospacing="0" w:after="0" w:afterAutospacing="0"/>
        <w:jc w:val="both"/>
        <w:rPr>
          <w:b/>
          <w:color w:val="000000"/>
        </w:rPr>
      </w:pPr>
    </w:p>
    <w:p w:rsidR="00F62046" w:rsidRPr="00BE0E8C" w:rsidRDefault="00F62046" w:rsidP="00F62046">
      <w:pPr>
        <w:pStyle w:val="NormalWeb"/>
        <w:shd w:val="clear" w:color="auto" w:fill="FFFFFF"/>
        <w:spacing w:before="0" w:beforeAutospacing="0" w:after="0" w:afterAutospacing="0"/>
        <w:jc w:val="both"/>
        <w:rPr>
          <w:b/>
          <w:color w:val="000000"/>
        </w:rPr>
      </w:pPr>
      <w:r w:rsidRPr="00BE0E8C">
        <w:rPr>
          <w:b/>
          <w:color w:val="000000"/>
        </w:rPr>
        <w:t>RBI/2021-22/05 FIDD.GSSD.CO.BC.No.04/09.01.01/2021-22</w:t>
      </w:r>
      <w:r w:rsidRPr="00BE0E8C">
        <w:rPr>
          <w:b/>
          <w:color w:val="000000"/>
        </w:rPr>
        <w:tab/>
      </w:r>
      <w:r w:rsidRPr="00BE0E8C">
        <w:rPr>
          <w:b/>
          <w:color w:val="000000"/>
        </w:rPr>
        <w:tab/>
        <w:t>April 01, 2021</w:t>
      </w:r>
    </w:p>
    <w:p w:rsidR="00F62046" w:rsidRPr="00BE0E8C" w:rsidRDefault="00F62046" w:rsidP="00F62046">
      <w:pPr>
        <w:pStyle w:val="NormalWeb"/>
        <w:shd w:val="clear" w:color="auto" w:fill="FFFFFF"/>
        <w:spacing w:before="0" w:beforeAutospacing="0" w:after="0" w:afterAutospacing="0"/>
        <w:jc w:val="both"/>
        <w:rPr>
          <w:i/>
          <w:color w:val="000000"/>
        </w:rPr>
      </w:pPr>
    </w:p>
    <w:p w:rsidR="00F62046" w:rsidRPr="00BE0E8C" w:rsidRDefault="00F62046" w:rsidP="00F62046">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F62046" w:rsidRPr="00BE0E8C" w:rsidRDefault="00F62046" w:rsidP="00F62046">
      <w:pPr>
        <w:pStyle w:val="NormalWeb"/>
        <w:shd w:val="clear" w:color="auto" w:fill="FFFFFF"/>
        <w:spacing w:before="0" w:beforeAutospacing="0" w:after="0" w:afterAutospacing="0"/>
        <w:jc w:val="both"/>
        <w:rPr>
          <w:color w:val="000000"/>
          <w:shd w:val="clear" w:color="auto" w:fill="FFFFFF"/>
        </w:rPr>
      </w:pPr>
    </w:p>
    <w:p w:rsidR="00F62046" w:rsidRPr="00BE0E8C" w:rsidRDefault="00F62046" w:rsidP="00F62046">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100"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on Deendayal Antyodaya Yojana - National Rural Livelihoods Mission (DAY-NRLM).</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1. Background</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The Ministry of Rural Development (MoRD), Government of India launched the National Rural Livelihood Mission (NRLM) by restructuring Swarnajayanti Gram Swarojgar Yojana (SGSY) with effect from 01st April 2013 (</w:t>
      </w:r>
      <w:hyperlink r:id="rId101" w:tgtFrame="_blank" w:history="1">
        <w:r w:rsidRPr="00BE0E8C">
          <w:rPr>
            <w:rStyle w:val="Hyperlink"/>
          </w:rPr>
          <w:t>RBI Circular No. RBI/2012-13/559 dated 27 June 2013</w:t>
        </w:r>
      </w:hyperlink>
      <w:r w:rsidRPr="00BE0E8C">
        <w:rPr>
          <w:color w:val="000000"/>
        </w:rPr>
        <w:t>). NRLM was renamed as DAY-NRLM (Deendayal Antyodaya Yojana - National Rural Livelihoods Mission) w.e.f.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102" w:anchor="A_1" w:history="1">
        <w:r w:rsidRPr="00BE0E8C">
          <w:rPr>
            <w:rStyle w:val="Hyperlink"/>
          </w:rPr>
          <w:t>Annex I</w:t>
        </w:r>
      </w:hyperlink>
      <w:r w:rsidRPr="00BE0E8C">
        <w:rPr>
          <w:color w:val="000000"/>
        </w:rPr>
        <w:t>.</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lastRenderedPageBreak/>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RPCD.No. Plan BC.13/PL-09.22/90-91 dated July 24th, 1991. However, Federations of Self Help Groups formed at Village, Gram Panchayat, Cluster or higher level may be registered under appropriate acts prevailing in their respective states.</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DAY-NRLM, MoRD, would provide Revolving Fund (RF) support to SHGs in existence for a minimum period of 3/6 month and follow the norms of good SHGs, i.e. they follow ‘Panchasutra’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CIF would be provided by MoRD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DAY-NRLM has a provision for interest subvention, to cover the difference between the Lending Rate of the banks and 7%, on all credit from the banks/ financial institutions availed by women SHGs, for a maximum of ₹ 300,000/- per SHG. This would be available across the country in two ways: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(i) In 250 identified districts, banks may lend to the women SHGs @7% up to an aggregated loan amount of ₹300,000/-. The banks would be subvented to the extent of difference between the Weighted Average Interest Charged and 7%, subject to the maximum limit of 5.5%. An additional interest subvention of 3% is also available on prompt repayment by the SHGs, reducing the effective rate of interest to 4%.</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 xml:space="preserve">(ii) In the remaining districts, the banks may lend at their respective lending rates, applicable to SHGs. In these districts, all women SHGs under DAY– NRLM would be eligible for interest subvention on prompt repayment. The difference between the bank lending rates and 7% for loans up to ₹ 300,000/- subject to a maximum limit of 5.5%, would be subvented directly in the loan </w:t>
      </w:r>
      <w:r w:rsidRPr="00BE0E8C">
        <w:rPr>
          <w:color w:val="000000"/>
        </w:rPr>
        <w:lastRenderedPageBreak/>
        <w:t>accounts of the SHGs by the SRLMs. This part of the scheme would be operationalized by the SRLMs.</w:t>
      </w:r>
    </w:p>
    <w:p w:rsidR="00F62046" w:rsidRPr="00BE0E8C" w:rsidRDefault="00F62046" w:rsidP="00F62046">
      <w:pPr>
        <w:pStyle w:val="NormalWeb"/>
        <w:numPr>
          <w:ilvl w:val="0"/>
          <w:numId w:val="14"/>
        </w:numPr>
        <w:shd w:val="clear" w:color="auto" w:fill="FFFFFF"/>
        <w:spacing w:before="0" w:beforeAutospacing="0" w:after="0" w:afterAutospacing="0"/>
        <w:jc w:val="both"/>
        <w:rPr>
          <w:color w:val="000000"/>
        </w:rPr>
      </w:pPr>
      <w:r w:rsidRPr="00BE0E8C">
        <w:rPr>
          <w:color w:val="000000"/>
        </w:rPr>
        <w:t>Salient features of the Scheme are enclosed in </w:t>
      </w:r>
      <w:hyperlink r:id="rId103" w:anchor="A_2" w:history="1">
        <w:r w:rsidRPr="00BE0E8C">
          <w:rPr>
            <w:rStyle w:val="Hyperlink"/>
          </w:rPr>
          <w:t>Annex II</w:t>
        </w:r>
      </w:hyperlink>
      <w:r w:rsidRPr="00BE0E8C">
        <w:rPr>
          <w:color w:val="000000"/>
        </w:rPr>
        <w:t>.</w:t>
      </w:r>
    </w:p>
    <w:p w:rsidR="00F62046" w:rsidRPr="00BE0E8C" w:rsidRDefault="00F62046" w:rsidP="00F62046">
      <w:pPr>
        <w:pStyle w:val="NormalWeb"/>
        <w:numPr>
          <w:ilvl w:val="0"/>
          <w:numId w:val="14"/>
        </w:numPr>
        <w:shd w:val="clear" w:color="auto" w:fill="FFFFFF"/>
        <w:spacing w:before="0" w:beforeAutospacing="0" w:after="0" w:afterAutospacing="0"/>
        <w:jc w:val="both"/>
        <w:rPr>
          <w:color w:val="000000"/>
        </w:rPr>
      </w:pPr>
      <w:r w:rsidRPr="00BE0E8C">
        <w:rPr>
          <w:color w:val="000000"/>
        </w:rPr>
        <w:t>The list of 250 identified districts is as per </w:t>
      </w:r>
      <w:hyperlink r:id="rId104" w:anchor="A_3" w:history="1">
        <w:r w:rsidRPr="00BE0E8C">
          <w:rPr>
            <w:rStyle w:val="Hyperlink"/>
          </w:rPr>
          <w:t>Annex III</w:t>
        </w:r>
      </w:hyperlink>
      <w:r w:rsidRPr="00BE0E8C">
        <w:rPr>
          <w:color w:val="000000"/>
        </w:rPr>
        <w:t>.</w:t>
      </w:r>
    </w:p>
    <w:p w:rsidR="00F62046" w:rsidRPr="00BE0E8C" w:rsidRDefault="00F62046" w:rsidP="00F62046">
      <w:pPr>
        <w:pStyle w:val="NormalWeb"/>
        <w:numPr>
          <w:ilvl w:val="0"/>
          <w:numId w:val="14"/>
        </w:numPr>
        <w:shd w:val="clear" w:color="auto" w:fill="FFFFFF"/>
        <w:spacing w:before="0" w:beforeAutospacing="0" w:after="0" w:afterAutospacing="0"/>
        <w:jc w:val="both"/>
        <w:rPr>
          <w:color w:val="000000"/>
        </w:rPr>
      </w:pPr>
      <w:r w:rsidRPr="00BE0E8C">
        <w:rPr>
          <w:color w:val="000000"/>
        </w:rPr>
        <w:t>Subvented interest rate would be communicated separately to the banks by GoI/RBI.</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 Role of banks:</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F62046" w:rsidRPr="00BE0E8C" w:rsidRDefault="00F62046" w:rsidP="00F62046">
      <w:pPr>
        <w:pStyle w:val="NormalWeb"/>
        <w:numPr>
          <w:ilvl w:val="0"/>
          <w:numId w:val="15"/>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F62046" w:rsidRPr="00BE0E8C" w:rsidRDefault="00F62046" w:rsidP="00F62046">
      <w:pPr>
        <w:pStyle w:val="NormalWeb"/>
        <w:numPr>
          <w:ilvl w:val="0"/>
          <w:numId w:val="15"/>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F62046" w:rsidRPr="00BE0E8C" w:rsidRDefault="00F62046" w:rsidP="00F62046">
      <w:pPr>
        <w:pStyle w:val="NormalWeb"/>
        <w:numPr>
          <w:ilvl w:val="0"/>
          <w:numId w:val="15"/>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105"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F62046" w:rsidRPr="00BE0E8C" w:rsidRDefault="00F62046" w:rsidP="00F62046">
      <w:pPr>
        <w:pStyle w:val="NormalWeb"/>
        <w:numPr>
          <w:ilvl w:val="0"/>
          <w:numId w:val="15"/>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xml:space="preserve"> SHGs and their federations may be encouraged to transact through their respective saving accounts and Cash Credit Loan accounts on regular basis. To facilitate this, banks are advised to enable </w:t>
      </w:r>
      <w:r w:rsidRPr="00BE0E8C">
        <w:rPr>
          <w:color w:val="000000"/>
        </w:rPr>
        <w:lastRenderedPageBreak/>
        <w:t>transactions in jointly operated savings/Cash Credit account of SHGs and their federations with interoperable facility at retail outlets managed by Business Correspondents. Banks are also advised to extend all such services to SHGs and their federations through Business Correspondents as per their board approved policies.</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F62046" w:rsidRPr="00BE0E8C" w:rsidRDefault="00F62046" w:rsidP="00F62046">
      <w:pPr>
        <w:pStyle w:val="NormalWeb"/>
        <w:numPr>
          <w:ilvl w:val="0"/>
          <w:numId w:val="16"/>
        </w:numPr>
        <w:shd w:val="clear" w:color="auto" w:fill="FFFFFF"/>
        <w:spacing w:before="0" w:beforeAutospacing="0" w:after="0" w:afterAutospacing="0"/>
        <w:jc w:val="both"/>
        <w:rPr>
          <w:color w:val="000000"/>
        </w:rPr>
      </w:pPr>
      <w:r w:rsidRPr="00BE0E8C">
        <w:rPr>
          <w:color w:val="000000"/>
        </w:rPr>
        <w:t>SHGs should be in active existence at least since the last 6 months as per the books of account of SHGs and not from the date of opening of S/B account.</w:t>
      </w:r>
    </w:p>
    <w:p w:rsidR="00F62046" w:rsidRPr="00BE0E8C" w:rsidRDefault="00F62046" w:rsidP="00F62046">
      <w:pPr>
        <w:pStyle w:val="NormalWeb"/>
        <w:numPr>
          <w:ilvl w:val="0"/>
          <w:numId w:val="16"/>
        </w:numPr>
        <w:shd w:val="clear" w:color="auto" w:fill="FFFFFF"/>
        <w:spacing w:before="0" w:beforeAutospacing="0" w:after="0" w:afterAutospacing="0"/>
        <w:jc w:val="both"/>
        <w:rPr>
          <w:color w:val="000000"/>
        </w:rPr>
      </w:pPr>
      <w:r w:rsidRPr="00BE0E8C">
        <w:rPr>
          <w:color w:val="000000"/>
        </w:rPr>
        <w:t>SHGs should be practicing ‘Panchasutras’ i.e. Regular meetings; Regular savings; Regular inter-loaning; Timely repayment; and Up-to-date books of accounts;</w:t>
      </w:r>
    </w:p>
    <w:p w:rsidR="00F62046" w:rsidRPr="00BE0E8C" w:rsidRDefault="00F62046" w:rsidP="00F62046">
      <w:pPr>
        <w:pStyle w:val="NormalWeb"/>
        <w:numPr>
          <w:ilvl w:val="0"/>
          <w:numId w:val="16"/>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F62046" w:rsidRPr="00BE0E8C" w:rsidRDefault="00F62046" w:rsidP="00F62046">
      <w:pPr>
        <w:pStyle w:val="NormalWeb"/>
        <w:numPr>
          <w:ilvl w:val="0"/>
          <w:numId w:val="16"/>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SHGs may avail either Term Loan (TL) or a Cash Credit Limit (CCL) loan or both based on the need. In case of need, additional loan may be sanctioned even though the previous loan is outstanding, based on the repayment behavior and performance of the SHG.</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In case of CCL, banks are advised to sanction minimum loan of ₹ 6 lakh to each eligible SHGs for a period of 3 years with a yearly drawing power (DP). The drawing power may be enhanced annually based on the repayment performance of the SHG. The drawing power may be calculated as follows:</w:t>
      </w:r>
    </w:p>
    <w:p w:rsidR="00F62046" w:rsidRPr="00BE0E8C" w:rsidRDefault="00F62046" w:rsidP="00F62046">
      <w:pPr>
        <w:pStyle w:val="NormalWeb"/>
        <w:numPr>
          <w:ilvl w:val="0"/>
          <w:numId w:val="17"/>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F62046" w:rsidRPr="00BE0E8C" w:rsidRDefault="00F62046" w:rsidP="00F62046">
      <w:pPr>
        <w:pStyle w:val="NormalWeb"/>
        <w:numPr>
          <w:ilvl w:val="0"/>
          <w:numId w:val="17"/>
        </w:numPr>
        <w:shd w:val="clear" w:color="auto" w:fill="FFFFFF"/>
        <w:spacing w:before="0" w:beforeAutospacing="0" w:after="0" w:afterAutospacing="0"/>
        <w:jc w:val="both"/>
        <w:rPr>
          <w:color w:val="000000"/>
        </w:rPr>
      </w:pPr>
      <w:r w:rsidRPr="00BE0E8C">
        <w:rPr>
          <w:color w:val="000000"/>
        </w:rPr>
        <w:t>DP for Second Year: 8 times of the corpus at the time review/ enhancement or minimum of ₹2 lakh, whichever is higher</w:t>
      </w:r>
    </w:p>
    <w:p w:rsidR="00F62046" w:rsidRPr="00BE0E8C" w:rsidRDefault="00F62046" w:rsidP="00F62046">
      <w:pPr>
        <w:pStyle w:val="NormalWeb"/>
        <w:numPr>
          <w:ilvl w:val="0"/>
          <w:numId w:val="17"/>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F62046" w:rsidRPr="00BE0E8C" w:rsidRDefault="00F62046" w:rsidP="00F62046">
      <w:pPr>
        <w:pStyle w:val="NormalWeb"/>
        <w:numPr>
          <w:ilvl w:val="0"/>
          <w:numId w:val="17"/>
        </w:numPr>
        <w:shd w:val="clear" w:color="auto" w:fill="FFFFFF"/>
        <w:spacing w:before="0" w:beforeAutospacing="0" w:after="0" w:afterAutospacing="0"/>
        <w:jc w:val="both"/>
        <w:rPr>
          <w:color w:val="000000"/>
        </w:rPr>
      </w:pPr>
      <w:r w:rsidRPr="00BE0E8C">
        <w:rPr>
          <w:color w:val="000000"/>
        </w:rPr>
        <w:t>DP for Fourth Year onwards: Above ₹6 lakh, based on the Micro credit plan prepared by SHG and appraised by the Federations /Support agency and the previous credit History.</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F62046" w:rsidRPr="00BE0E8C" w:rsidRDefault="00F62046" w:rsidP="00F62046">
      <w:pPr>
        <w:pStyle w:val="NormalWeb"/>
        <w:numPr>
          <w:ilvl w:val="0"/>
          <w:numId w:val="18"/>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F62046" w:rsidRPr="00BE0E8C" w:rsidRDefault="00F62046" w:rsidP="00F62046">
      <w:pPr>
        <w:pStyle w:val="NormalWeb"/>
        <w:numPr>
          <w:ilvl w:val="0"/>
          <w:numId w:val="18"/>
        </w:numPr>
        <w:shd w:val="clear" w:color="auto" w:fill="FFFFFF"/>
        <w:spacing w:before="0" w:beforeAutospacing="0" w:after="0" w:afterAutospacing="0"/>
        <w:jc w:val="both"/>
        <w:rPr>
          <w:color w:val="000000"/>
        </w:rPr>
      </w:pPr>
      <w:r w:rsidRPr="00BE0E8C">
        <w:rPr>
          <w:color w:val="000000"/>
        </w:rPr>
        <w:t>Second Dose: 8 times of the existing corpus or minimum of ₹2 lakh, whichever is higher</w:t>
      </w:r>
    </w:p>
    <w:p w:rsidR="00F62046" w:rsidRPr="00BE0E8C" w:rsidRDefault="00F62046" w:rsidP="00F62046">
      <w:pPr>
        <w:pStyle w:val="NormalWeb"/>
        <w:numPr>
          <w:ilvl w:val="0"/>
          <w:numId w:val="18"/>
        </w:numPr>
        <w:shd w:val="clear" w:color="auto" w:fill="FFFFFF"/>
        <w:spacing w:before="0" w:beforeAutospacing="0" w:after="0" w:afterAutospacing="0"/>
        <w:jc w:val="both"/>
        <w:rPr>
          <w:color w:val="000000"/>
        </w:rPr>
      </w:pPr>
      <w:r w:rsidRPr="00BE0E8C">
        <w:rPr>
          <w:color w:val="000000"/>
        </w:rPr>
        <w:t>Third Dose: Minimum of ₹6 lakh, based on the Micro credit plan prepared by the SHGs and appraised by the Federations /Support agency and the previous credit history.</w:t>
      </w:r>
    </w:p>
    <w:p w:rsidR="00F62046" w:rsidRPr="00BE0E8C" w:rsidRDefault="00F62046" w:rsidP="00F62046">
      <w:pPr>
        <w:pStyle w:val="NormalWeb"/>
        <w:numPr>
          <w:ilvl w:val="0"/>
          <w:numId w:val="18"/>
        </w:numPr>
        <w:shd w:val="clear" w:color="auto" w:fill="FFFFFF"/>
        <w:spacing w:before="0" w:beforeAutospacing="0" w:after="0" w:afterAutospacing="0"/>
        <w:jc w:val="both"/>
        <w:rPr>
          <w:color w:val="000000"/>
        </w:rPr>
      </w:pPr>
      <w:r w:rsidRPr="00BE0E8C">
        <w:rPr>
          <w:color w:val="000000"/>
        </w:rPr>
        <w:t>Fourth Dose onwards: Above ₹6 lakh, based on the Micro credit plan prepared by the SHGs and appraised by the Federations /Support agency and the previous credit History.</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lastRenderedPageBreak/>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(Corpus is inclusive of revolving funds, if any, received by that SHG, its own savings, interest earning by SHG from on-lending to its members, income from other sources, and funds from other sources in case of promotion by other institutes/NGOs.)</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In order to facilitate use of loans for augmenting livelihoods of SHG members, it is advised that at least 50% of loans above ₹2 lakh, 75% of loans above ₹4 lakh and at least 85% of loans above ₹6 lakh be used primarily for income generating productive purposes. Micro Credit Plan (MCP) prepared by SHGs would form the basis for determining the purpose and usage of loans.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F62046" w:rsidRPr="00BE0E8C" w:rsidRDefault="00F62046" w:rsidP="00F62046">
      <w:pPr>
        <w:pStyle w:val="NormalWeb"/>
        <w:numPr>
          <w:ilvl w:val="0"/>
          <w:numId w:val="19"/>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F62046" w:rsidRPr="00BE0E8C" w:rsidRDefault="00F62046" w:rsidP="00F62046">
      <w:pPr>
        <w:pStyle w:val="NormalWeb"/>
        <w:numPr>
          <w:ilvl w:val="0"/>
          <w:numId w:val="19"/>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F62046" w:rsidRPr="00BE0E8C" w:rsidRDefault="00F62046" w:rsidP="00F62046">
      <w:pPr>
        <w:pStyle w:val="NormalWeb"/>
        <w:numPr>
          <w:ilvl w:val="0"/>
          <w:numId w:val="19"/>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F62046" w:rsidRPr="00BE0E8C" w:rsidRDefault="00F62046" w:rsidP="00F62046">
      <w:pPr>
        <w:pStyle w:val="NormalWeb"/>
        <w:numPr>
          <w:ilvl w:val="0"/>
          <w:numId w:val="19"/>
        </w:numPr>
        <w:shd w:val="clear" w:color="auto" w:fill="FFFFFF"/>
        <w:spacing w:before="0" w:beforeAutospacing="0" w:after="0" w:afterAutospacing="0"/>
        <w:jc w:val="both"/>
        <w:rPr>
          <w:color w:val="000000"/>
        </w:rPr>
      </w:pPr>
      <w:r w:rsidRPr="00BE0E8C">
        <w:rPr>
          <w:color w:val="000000"/>
        </w:rPr>
        <w:t>The loan from Fourth dose onwards may be repaid between 60-84 months based on the cash flow in monthly/ quarterly installments.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It is desirable that willful defaulters should not be financed under DAY-NRLM. In case willful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willful defaulters should not have the benefit of such bank loan until the outstanding loans are repaid. Willful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non-willful defaulters should not be debarred from receiving the loan. In case default is due to genuine reasons, banks may follow the norms suggested for restructuring the account with revised repayment schedule.</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w:t>
      </w:r>
      <w:r w:rsidRPr="00BE0E8C">
        <w:rPr>
          <w:color w:val="000000"/>
        </w:rPr>
        <w:lastRenderedPageBreak/>
        <w:t>number of SHGs eligible for fresh and repeat loans as suggested by the SRLMs to arrive at the credit targets for the states. The targets so decided should be approved in the SLBC and reviewed and monitored periodically for effective implementation.</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8.2</w:t>
      </w:r>
      <w:r w:rsidRPr="00BE0E8C">
        <w:rPr>
          <w:color w:val="000000"/>
        </w:rPr>
        <w:t xml:space="preserve"> The district-wise credit plans should be communicated to the DCC. The Block- wise/Cluster-wise targets are to be communicated to the bank branches through the Controllers.</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10 Repayment:</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lastRenderedPageBreak/>
        <w:t>11.4</w:t>
      </w:r>
      <w:r w:rsidRPr="00BE0E8C">
        <w:rPr>
          <w:color w:val="000000"/>
        </w:rPr>
        <w:t xml:space="preserve"> Reporting to Lead District Managers: The branches may furnish the progress report and the delinquency report achieved under various activities of DAY-NRLM in the format at </w:t>
      </w:r>
      <w:hyperlink r:id="rId106" w:tgtFrame="_blank" w:history="1">
        <w:r w:rsidRPr="00BE0E8C">
          <w:rPr>
            <w:rStyle w:val="Hyperlink"/>
          </w:rPr>
          <w:t>Annex–IV</w:t>
        </w:r>
      </w:hyperlink>
      <w:r w:rsidRPr="00BE0E8C">
        <w:rPr>
          <w:color w:val="000000"/>
        </w:rPr>
        <w:t> and </w:t>
      </w:r>
      <w:hyperlink r:id="rId107"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F62046" w:rsidRPr="00BE0E8C" w:rsidRDefault="00F62046" w:rsidP="00F62046">
      <w:pPr>
        <w:pStyle w:val="NormalWeb"/>
        <w:shd w:val="clear" w:color="auto" w:fill="FFFFFF"/>
        <w:spacing w:before="0" w:beforeAutospacing="0" w:after="0" w:afterAutospacing="0"/>
        <w:jc w:val="both"/>
        <w:rPr>
          <w:rStyle w:val="head1"/>
          <w:b/>
          <w:bCs/>
          <w:color w:val="000000"/>
        </w:rPr>
      </w:pPr>
    </w:p>
    <w:p w:rsidR="00F62046" w:rsidRPr="00BE0E8C" w:rsidRDefault="00F62046" w:rsidP="00F62046">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Financial Literacy is one of the important strategies to spread awareness on financial behavior and keep households informed about various financial products and services. DAY-NRLM has trained and deployed a large number of cadre called ‘Financial Literacy Community Resource Persons (FL-CRPs)’ to carry out financial literacy camps at village level. Financial Literacy Centers (FLC) established by various banks may coordinate with respective SRLMs and utilize the services of FL-CRPs to conduct village camps on Financial Literacy.</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13 Data Sharing:</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Mantri Jeevan Jyoti Bima Yojana (PMJJBY) and Pradhan Mantri Suraksha Bima Yojana (PMSBY) with DAY-NRLM on agreed formats to facilitate higher enrollment and claim settlement under the mentioned schemes.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F62046" w:rsidRPr="00BE0E8C" w:rsidRDefault="00F62046" w:rsidP="00F62046">
      <w:pPr>
        <w:pStyle w:val="head"/>
        <w:shd w:val="clear" w:color="auto" w:fill="FFFFFF"/>
        <w:spacing w:before="0" w:beforeAutospacing="0" w:after="0" w:afterAutospacing="0"/>
        <w:jc w:val="both"/>
        <w:rPr>
          <w:b/>
          <w:bCs/>
          <w:color w:val="000000"/>
        </w:rPr>
      </w:pPr>
    </w:p>
    <w:p w:rsidR="00F62046" w:rsidRPr="00BE0E8C" w:rsidRDefault="00F62046" w:rsidP="00F62046">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Sakhi) with every bank branch involved in financing of SHGs.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F62046" w:rsidRPr="00BE0E8C" w:rsidRDefault="00F62046" w:rsidP="00F62046">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w:t>
      </w:r>
      <w:r w:rsidRPr="00BE0E8C">
        <w:rPr>
          <w:color w:val="000000"/>
        </w:rPr>
        <w:lastRenderedPageBreak/>
        <w:t>committee members from each village level federation along with project staff would meet once in a month under the chairmanship of the Branch Manager in the branch premises with the agenda items relating to bank linkage.</w:t>
      </w:r>
    </w:p>
    <w:p w:rsidR="00F62046" w:rsidRPr="00BE0E8C" w:rsidRDefault="00F62046" w:rsidP="00F62046">
      <w:pPr>
        <w:pStyle w:val="NormalWeb"/>
        <w:shd w:val="clear" w:color="auto" w:fill="FFFFFF"/>
        <w:spacing w:before="0" w:beforeAutospacing="0" w:after="0" w:afterAutospacing="0"/>
        <w:jc w:val="both"/>
        <w:rPr>
          <w:color w:val="000000"/>
        </w:rPr>
      </w:pPr>
    </w:p>
    <w:p w:rsidR="00F62046" w:rsidRPr="00BE0E8C" w:rsidRDefault="00F62046" w:rsidP="00F62046">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F62046" w:rsidRPr="00BE0E8C" w:rsidRDefault="003327B0" w:rsidP="00F62046">
      <w:pPr>
        <w:pStyle w:val="NormalWeb"/>
        <w:pBdr>
          <w:bottom w:val="single" w:sz="12" w:space="1" w:color="auto"/>
        </w:pBdr>
        <w:shd w:val="clear" w:color="auto" w:fill="FFFFFF"/>
        <w:spacing w:before="0" w:beforeAutospacing="0" w:after="0" w:afterAutospacing="0"/>
        <w:rPr>
          <w:color w:val="000000"/>
        </w:rPr>
      </w:pPr>
      <w:hyperlink r:id="rId108" w:history="1">
        <w:r w:rsidR="00F62046" w:rsidRPr="00BE0E8C">
          <w:rPr>
            <w:rStyle w:val="Hyperlink"/>
          </w:rPr>
          <w:t>https://www.rbi.org.in/Scripts/NotificationUser.aspx?Id=12062&amp;Mode=0</w:t>
        </w:r>
      </w:hyperlink>
    </w:p>
    <w:p w:rsidR="00F62046" w:rsidRDefault="00F62046" w:rsidP="00F62046">
      <w:pPr>
        <w:pStyle w:val="NormalWeb"/>
        <w:shd w:val="clear" w:color="auto" w:fill="FFFFFF"/>
        <w:spacing w:before="0" w:beforeAutospacing="0" w:after="0" w:afterAutospacing="0"/>
        <w:jc w:val="both"/>
        <w:rPr>
          <w:b/>
          <w:bCs/>
          <w:color w:val="000000"/>
        </w:rPr>
      </w:pPr>
    </w:p>
    <w:p w:rsidR="00BD7F88" w:rsidRPr="00BE0E8C" w:rsidRDefault="00BD7F88" w:rsidP="00BD7F88">
      <w:pPr>
        <w:pStyle w:val="NormalWeb"/>
        <w:shd w:val="clear" w:color="auto" w:fill="FFFFFF"/>
        <w:spacing w:before="0" w:beforeAutospacing="0" w:after="0" w:afterAutospacing="0"/>
        <w:jc w:val="both"/>
        <w:rPr>
          <w:b/>
          <w:bCs/>
          <w:color w:val="000000"/>
        </w:rPr>
      </w:pPr>
      <w:r>
        <w:rPr>
          <w:b/>
          <w:bCs/>
          <w:color w:val="000000"/>
        </w:rPr>
        <w:t>23.</w:t>
      </w:r>
      <w:r w:rsidRPr="00BD7F88">
        <w:rPr>
          <w:b/>
          <w:bCs/>
          <w:color w:val="000000"/>
        </w:rPr>
        <w:t xml:space="preserve"> </w:t>
      </w:r>
      <w:r w:rsidRPr="00BE0E8C">
        <w:rPr>
          <w:b/>
          <w:bCs/>
          <w:color w:val="000000"/>
        </w:rPr>
        <w:t>Master Direction - Reserve Bank of India (Call, Notice and Term Money Markets) Directions, 2021</w:t>
      </w:r>
    </w:p>
    <w:p w:rsidR="00BD7F88" w:rsidRPr="00BE0E8C" w:rsidRDefault="00BD7F88" w:rsidP="00BD7F88">
      <w:pPr>
        <w:pStyle w:val="NormalWeb"/>
        <w:shd w:val="clear" w:color="auto" w:fill="FFFFFF"/>
        <w:spacing w:before="0" w:beforeAutospacing="0" w:after="0" w:afterAutospacing="0"/>
        <w:jc w:val="both"/>
        <w:rPr>
          <w:b/>
          <w:bCs/>
          <w:color w:val="000000"/>
        </w:rPr>
      </w:pPr>
    </w:p>
    <w:p w:rsidR="00BD7F88" w:rsidRPr="00BE0E8C" w:rsidRDefault="00BD7F88" w:rsidP="00BD7F88">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BD7F88" w:rsidRPr="00BE0E8C" w:rsidRDefault="00BD7F88" w:rsidP="00BD7F88">
      <w:pPr>
        <w:pStyle w:val="NormalWeb"/>
        <w:shd w:val="clear" w:color="auto" w:fill="FFFFFF"/>
        <w:spacing w:before="0" w:beforeAutospacing="0" w:after="0" w:afterAutospacing="0"/>
        <w:jc w:val="both"/>
        <w:rPr>
          <w:i/>
          <w:color w:val="000000"/>
          <w:shd w:val="clear" w:color="auto" w:fill="FFFFFF"/>
        </w:rPr>
      </w:pPr>
    </w:p>
    <w:p w:rsidR="00BD7F88" w:rsidRPr="00BE0E8C" w:rsidRDefault="00BD7F88" w:rsidP="00BD7F88">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BD7F88" w:rsidRPr="00BE0E8C" w:rsidRDefault="00BD7F88" w:rsidP="00BD7F88">
      <w:pPr>
        <w:pStyle w:val="NormalWeb"/>
        <w:shd w:val="clear" w:color="auto" w:fill="FFFFFF"/>
        <w:spacing w:before="0" w:beforeAutospacing="0" w:after="0" w:afterAutospacing="0"/>
        <w:jc w:val="both"/>
        <w:rPr>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109" w:tgtFrame="_blank" w:history="1">
        <w:r w:rsidRPr="00BE0E8C">
          <w:rPr>
            <w:rStyle w:val="Hyperlink"/>
          </w:rPr>
          <w:t>Statement on Developmental and Regulatory Policies, Reserve Bank of India</w:t>
        </w:r>
      </w:hyperlink>
      <w:r w:rsidRPr="00BE0E8C">
        <w:rPr>
          <w:color w:val="000000"/>
        </w:rPr>
        <w:t>, issued as part of the </w:t>
      </w:r>
      <w:hyperlink r:id="rId110" w:tgtFrame="_blank" w:history="1">
        <w:r w:rsidRPr="00BE0E8C">
          <w:rPr>
            <w:rStyle w:val="Hyperlink"/>
          </w:rPr>
          <w:t>second Bi-monthly Monetary Policy Statement for 2019-20 dated June 06, 2019</w:t>
        </w:r>
      </w:hyperlink>
      <w:r w:rsidRPr="00BE0E8C">
        <w:rPr>
          <w:color w:val="000000"/>
        </w:rPr>
        <w:t> regarding Comprehensive Review of Money Market Directions.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111" w:anchor="ANN" w:history="1">
        <w:r w:rsidRPr="00BE0E8C">
          <w:rPr>
            <w:rStyle w:val="Hyperlink"/>
          </w:rPr>
          <w:t>Directions</w:t>
        </w:r>
      </w:hyperlink>
      <w:r w:rsidRPr="00BE0E8C">
        <w:rPr>
          <w:color w:val="000000"/>
        </w:rPr>
        <w:t> are enclosed herewith.</w:t>
      </w:r>
    </w:p>
    <w:p w:rsidR="00BD7F88" w:rsidRPr="00BE0E8C" w:rsidRDefault="00BD7F88" w:rsidP="00BD7F88">
      <w:pPr>
        <w:pStyle w:val="NormalWeb"/>
        <w:shd w:val="clear" w:color="auto" w:fill="FFFFFF"/>
        <w:spacing w:before="0" w:beforeAutospacing="0" w:after="0" w:afterAutospacing="0"/>
        <w:jc w:val="both"/>
        <w:rPr>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112" w:tgtFrame="_blank" w:history="1">
        <w:r w:rsidRPr="00BE0E8C">
          <w:rPr>
            <w:rStyle w:val="Hyperlink"/>
          </w:rPr>
          <w:t>FMRD Master Direction No. 2/2016-17 dated July 07, 2016</w:t>
        </w:r>
      </w:hyperlink>
      <w:r w:rsidRPr="00BE0E8C">
        <w:rPr>
          <w:color w:val="000000"/>
        </w:rPr>
        <w:t>, Direction No. </w:t>
      </w:r>
      <w:hyperlink r:id="rId113" w:tgtFrame="_blank" w:history="1">
        <w:r w:rsidRPr="00BE0E8C">
          <w:rPr>
            <w:rStyle w:val="Hyperlink"/>
          </w:rPr>
          <w:t>FMRD.DIRD.09/14.01.001/2018-19 dated October 29, 2018</w:t>
        </w:r>
      </w:hyperlink>
      <w:r w:rsidRPr="00BE0E8C">
        <w:rPr>
          <w:color w:val="000000"/>
        </w:rPr>
        <w:t> and Direction No. </w:t>
      </w:r>
      <w:hyperlink r:id="rId114" w:tgtFrame="_blank" w:history="1">
        <w:r w:rsidRPr="00BE0E8C">
          <w:rPr>
            <w:rStyle w:val="Hyperlink"/>
          </w:rPr>
          <w:t>FMRD.DIRD.01/14.01.001/2020-21 dated December 04, 2020</w:t>
        </w:r>
      </w:hyperlink>
      <w:r w:rsidRPr="00BE0E8C">
        <w:rPr>
          <w:color w:val="000000"/>
        </w:rPr>
        <w:t>, the Reserve Bank of India (hereinafter called the Reserve Bank), hereby issues the following Directions to all persons and agencies eligible to deal in Call, Notice and Term Money Markets.</w:t>
      </w:r>
    </w:p>
    <w:p w:rsidR="00BD7F88" w:rsidRPr="00BE0E8C" w:rsidRDefault="00BD7F88" w:rsidP="00BD7F88">
      <w:pPr>
        <w:pStyle w:val="head"/>
        <w:shd w:val="clear" w:color="auto" w:fill="FFFFFF"/>
        <w:spacing w:before="0" w:beforeAutospacing="0" w:after="0" w:afterAutospacing="0"/>
        <w:jc w:val="both"/>
        <w:rPr>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BD7F88" w:rsidRPr="00BE0E8C" w:rsidRDefault="00BD7F88" w:rsidP="00BD7F88">
      <w:pPr>
        <w:pStyle w:val="head"/>
        <w:shd w:val="clear" w:color="auto" w:fill="FFFFFF"/>
        <w:spacing w:before="0" w:beforeAutospacing="0" w:after="0" w:afterAutospacing="0"/>
        <w:jc w:val="both"/>
        <w:rPr>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2. Definitions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(ja), (da) and (nc), of section 5 respectively thereof, or a “cooperative bank” as defined in clause (cci) of section 5 read with section 56 of the said Act;</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lastRenderedPageBreak/>
        <w:t>“Electronic Trading Platform” or “ETP”</w:t>
      </w:r>
      <w:r w:rsidRPr="00BE0E8C">
        <w:rPr>
          <w:color w:val="000000"/>
        </w:rPr>
        <w:t> shall have the meaning assigned in paragraph 2 (1) (iii) of </w:t>
      </w:r>
      <w:hyperlink r:id="rId115" w:tgtFrame="_blank" w:history="1">
        <w:r w:rsidRPr="00BE0E8C">
          <w:rPr>
            <w:rStyle w:val="Hyperlink"/>
          </w:rPr>
          <w:t>the Electronic Trading Platform (Reserve Bank) Directions, 2018 dated October 05, 2018</w:t>
        </w:r>
      </w:hyperlink>
      <w:r w:rsidRPr="00BE0E8C">
        <w:rPr>
          <w:color w:val="000000"/>
        </w:rPr>
        <w:t>, as modified from time to time;</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16" w:tgtFrame="_blank" w:history="1">
        <w:r w:rsidRPr="00BE0E8C">
          <w:rPr>
            <w:rStyle w:val="Hyperlink"/>
          </w:rPr>
          <w:t>Guidelines for Licensing of Payments Banks” dated November 27, 2014</w:t>
        </w:r>
      </w:hyperlink>
      <w:r w:rsidRPr="00BE0E8C">
        <w:rPr>
          <w:color w:val="000000"/>
        </w:rPr>
        <w:t>, as amended from time to time;</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17" w:tgtFrame="_blank" w:history="1">
        <w:r w:rsidRPr="00BE0E8C">
          <w:rPr>
            <w:rStyle w:val="Hyperlink"/>
          </w:rPr>
          <w:t>Guidelines for Licensing of Small Finance Banks” dated November 27, 2014</w:t>
        </w:r>
      </w:hyperlink>
      <w:r w:rsidRPr="00BE0E8C">
        <w:rPr>
          <w:color w:val="000000"/>
        </w:rPr>
        <w:t>, as amended from time to time;</w:t>
      </w:r>
    </w:p>
    <w:p w:rsidR="00BD7F88" w:rsidRPr="00BE0E8C" w:rsidRDefault="00BD7F88" w:rsidP="00BD7F88">
      <w:pPr>
        <w:pStyle w:val="NormalWeb"/>
        <w:numPr>
          <w:ilvl w:val="0"/>
          <w:numId w:val="20"/>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Words and expressions used but not defined in these Directions shall have the meaning assigned to them in the Reserve Bank of India Act, 1934.</w:t>
      </w:r>
    </w:p>
    <w:p w:rsidR="00BD7F88" w:rsidRDefault="00BD7F88" w:rsidP="00BD7F88">
      <w:pPr>
        <w:pStyle w:val="NormalWeb"/>
        <w:shd w:val="clear" w:color="auto" w:fill="FFFFFF"/>
        <w:spacing w:before="0" w:beforeAutospacing="0" w:after="0" w:afterAutospacing="0"/>
        <w:jc w:val="both"/>
        <w:rPr>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3. Participants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Payment Banks;</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Small Finance Banks;</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Regional Rural Banks;</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BD7F88" w:rsidRPr="00BE0E8C" w:rsidRDefault="00BD7F88" w:rsidP="00BD7F88">
      <w:pPr>
        <w:pStyle w:val="NormalWeb"/>
        <w:numPr>
          <w:ilvl w:val="0"/>
          <w:numId w:val="21"/>
        </w:numPr>
        <w:shd w:val="clear" w:color="auto" w:fill="FFFFFF"/>
        <w:spacing w:before="0" w:beforeAutospacing="0" w:after="0" w:afterAutospacing="0"/>
        <w:jc w:val="both"/>
        <w:rPr>
          <w:color w:val="000000"/>
        </w:rPr>
      </w:pPr>
      <w:r w:rsidRPr="00BE0E8C">
        <w:rPr>
          <w:color w:val="000000"/>
        </w:rPr>
        <w:t>Primary Dealers.</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4. Prudential limits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xml:space="preserve"> Prudential limits in respect of outstanding lending transactions in the Call, Notice and Term Money Markets shall be decided by the participants with the approval of their Board within the </w:t>
      </w:r>
      <w:r w:rsidRPr="00BE0E8C">
        <w:rPr>
          <w:color w:val="000000"/>
        </w:rPr>
        <w:lastRenderedPageBreak/>
        <w:t>regulatory framework of the exposure norms prescribed by the Department of Regulation of the Reserve Bank for the eligible participant concerned.</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18" w:anchor="T1" w:history="1">
        <w:r w:rsidRPr="00BE0E8C">
          <w:rPr>
            <w:rStyle w:val="Hyperlink"/>
          </w:rPr>
          <w:t>Table 1</w:t>
        </w:r>
      </w:hyperlink>
      <w:r w:rsidRPr="00BE0E8C">
        <w:rPr>
          <w:color w:val="000000"/>
        </w:rPr>
        <w:t>.</w:t>
      </w:r>
    </w:p>
    <w:p w:rsidR="00BD7F88" w:rsidRPr="00BE0E8C" w:rsidRDefault="00BD7F88" w:rsidP="00BD7F88">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3338"/>
        <w:gridCol w:w="4053"/>
      </w:tblGrid>
      <w:tr w:rsidR="00BD7F88" w:rsidRPr="00BE0E8C" w:rsidTr="00B02BBD">
        <w:trPr>
          <w:jc w:val="center"/>
        </w:trPr>
        <w:tc>
          <w:tcPr>
            <w:tcW w:w="0" w:type="auto"/>
            <w:gridSpan w:val="3"/>
            <w:tcMar>
              <w:top w:w="0" w:type="dxa"/>
              <w:left w:w="45" w:type="dxa"/>
              <w:bottom w:w="0" w:type="dxa"/>
              <w:right w:w="45" w:type="dxa"/>
            </w:tcMar>
            <w:vAlign w:val="cente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BD7F88" w:rsidRPr="00BE0E8C" w:rsidTr="00B02BBD">
        <w:trPr>
          <w:jc w:val="center"/>
        </w:trPr>
        <w:tc>
          <w:tcPr>
            <w:tcW w:w="350" w:type="pct"/>
            <w:tcMar>
              <w:top w:w="0" w:type="dxa"/>
              <w:left w:w="45" w:type="dxa"/>
              <w:bottom w:w="0" w:type="dxa"/>
              <w:right w:w="45" w:type="dxa"/>
            </w:tcMar>
            <w:vAlign w:val="cente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BD7F88" w:rsidRPr="00BE0E8C" w:rsidTr="00B02BBD">
        <w:trPr>
          <w:jc w:val="center"/>
        </w:trPr>
        <w:tc>
          <w:tcPr>
            <w:tcW w:w="0" w:type="auto"/>
            <w:tcMar>
              <w:top w:w="0" w:type="dxa"/>
              <w:left w:w="45" w:type="dxa"/>
              <w:bottom w:w="0" w:type="dxa"/>
              <w:right w:w="45" w:type="dxa"/>
            </w:tcMa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BD7F88" w:rsidRPr="00BE0E8C" w:rsidRDefault="00BD7F88"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BD7F88" w:rsidRPr="00BE0E8C" w:rsidRDefault="00BD7F88" w:rsidP="00B02BBD">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BD7F88" w:rsidRPr="00BE0E8C" w:rsidRDefault="00BD7F88" w:rsidP="00B02BBD">
            <w:pPr>
              <w:pStyle w:val="NormalWeb"/>
              <w:spacing w:before="0" w:beforeAutospacing="0" w:after="0" w:afterAutospacing="0"/>
              <w:jc w:val="both"/>
              <w:rPr>
                <w:color w:val="000000"/>
              </w:rPr>
            </w:pPr>
            <w:r w:rsidRPr="00BE0E8C">
              <w:rPr>
                <w:color w:val="000000"/>
              </w:rPr>
              <w:t>(ii) 125% of capital funds on any given day.</w:t>
            </w:r>
          </w:p>
        </w:tc>
      </w:tr>
      <w:tr w:rsidR="00BD7F88" w:rsidRPr="00BE0E8C" w:rsidTr="00B02BBD">
        <w:trPr>
          <w:jc w:val="center"/>
        </w:trPr>
        <w:tc>
          <w:tcPr>
            <w:tcW w:w="0" w:type="auto"/>
            <w:tcMar>
              <w:top w:w="0" w:type="dxa"/>
              <w:left w:w="45" w:type="dxa"/>
              <w:bottom w:w="0" w:type="dxa"/>
              <w:right w:w="45" w:type="dxa"/>
            </w:tcMa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BD7F88" w:rsidRPr="00BE0E8C" w:rsidRDefault="00BD7F88"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BD7F88" w:rsidRPr="00BE0E8C" w:rsidRDefault="00BD7F88" w:rsidP="00B02BBD">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BD7F88" w:rsidRPr="00BE0E8C" w:rsidTr="00B02BBD">
        <w:trPr>
          <w:jc w:val="center"/>
        </w:trPr>
        <w:tc>
          <w:tcPr>
            <w:tcW w:w="0" w:type="auto"/>
            <w:tcMar>
              <w:top w:w="0" w:type="dxa"/>
              <w:left w:w="45" w:type="dxa"/>
              <w:bottom w:w="0" w:type="dxa"/>
              <w:right w:w="45" w:type="dxa"/>
            </w:tcMar>
            <w:hideMark/>
          </w:tcPr>
          <w:p w:rsidR="00BD7F88" w:rsidRPr="00BE0E8C" w:rsidRDefault="00BD7F88" w:rsidP="00B02BBD">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BD7F88" w:rsidRPr="00BE0E8C" w:rsidRDefault="00BD7F88" w:rsidP="00B02BBD">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BD7F88" w:rsidRPr="00BE0E8C" w:rsidRDefault="00BD7F88" w:rsidP="00B02BBD">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Clearcorp Dealing System Ltd., or any other NDS-CALL system operator authorised by the Reserve Bank for setting of limits in the NDS-CALL platform, under advice to the Financial Markets Regulation Department (FMRD) of the Reserve Bank through </w:t>
      </w:r>
      <w:hyperlink r:id="rId119" w:tgtFrame="_blank" w:history="1">
        <w:r w:rsidRPr="00BE0E8C">
          <w:rPr>
            <w:rStyle w:val="Hyperlink"/>
          </w:rPr>
          <w:t>e-mail</w:t>
        </w:r>
      </w:hyperlink>
      <w:r w:rsidRPr="00BE0E8C">
        <w:rPr>
          <w:color w:val="000000"/>
        </w:rPr>
        <w:t>.</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5. General guidelines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Any misreporting or multiple reporting of the same OTC markets deal by a counterparty shall be immediately brought to the notice of the Clearcorp Dealing System Ltd., or any other NDS-CALL system operator authorised by the Reserve Bank and also to the Financial Markets Regulation Department, Reserve Bank of India, Central Office, Fort, Mumbai, through </w:t>
      </w:r>
      <w:hyperlink r:id="rId120" w:history="1">
        <w:r w:rsidRPr="00BE0E8C">
          <w:rPr>
            <w:rStyle w:val="Hyperlink"/>
          </w:rPr>
          <w:t>email</w:t>
        </w:r>
      </w:hyperlink>
      <w:r w:rsidRPr="00BE0E8C">
        <w:rPr>
          <w:color w:val="000000"/>
        </w:rPr>
        <w:t>.</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one month at a time, after providing reasonable opportunity to the person or agency to defend its actions, and such action may be made public by the Reserve Bank.</w:t>
      </w:r>
    </w:p>
    <w:p w:rsidR="00BD7F88" w:rsidRPr="00BE0E8C" w:rsidRDefault="00BD7F88" w:rsidP="00BD7F88">
      <w:pPr>
        <w:pStyle w:val="NormalWeb"/>
        <w:shd w:val="clear" w:color="auto" w:fill="FFFFFF"/>
        <w:spacing w:before="0" w:beforeAutospacing="0" w:after="0" w:afterAutospacing="0"/>
        <w:jc w:val="both"/>
        <w:rPr>
          <w:rStyle w:val="head1"/>
          <w:b/>
          <w:bCs/>
          <w:color w:val="000000"/>
        </w:rPr>
      </w:pPr>
    </w:p>
    <w:p w:rsidR="00BD7F88" w:rsidRPr="00BE0E8C" w:rsidRDefault="00BD7F88" w:rsidP="00BD7F88">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121" w:tgtFrame="_blank" w:history="1">
        <w:r w:rsidRPr="00BE0E8C">
          <w:rPr>
            <w:rStyle w:val="Hyperlink"/>
          </w:rPr>
          <w:t>FMRD Master Direction No. 2/2016-17 dated July 07, 2016</w:t>
        </w:r>
      </w:hyperlink>
      <w:r w:rsidRPr="00BE0E8C">
        <w:rPr>
          <w:color w:val="000000"/>
        </w:rPr>
        <w:t>; Direction No. </w:t>
      </w:r>
      <w:hyperlink r:id="rId122" w:tgtFrame="_blank" w:history="1">
        <w:r w:rsidRPr="00BE0E8C">
          <w:rPr>
            <w:rStyle w:val="Hyperlink"/>
          </w:rPr>
          <w:t>FMRD.DIRD.09/14.01.001/2018-19 dated October 29, 2018</w:t>
        </w:r>
      </w:hyperlink>
      <w:r w:rsidRPr="00BE0E8C">
        <w:rPr>
          <w:color w:val="000000"/>
        </w:rPr>
        <w:t> and Direction No. </w:t>
      </w:r>
      <w:hyperlink r:id="rId123" w:tgtFrame="_blank" w:history="1">
        <w:r w:rsidRPr="00BE0E8C">
          <w:rPr>
            <w:rStyle w:val="Hyperlink"/>
          </w:rPr>
          <w:t>FMRD.DIRD.01/14.01.001/2020-21 dated December 04, 2020</w:t>
        </w:r>
      </w:hyperlink>
      <w:r w:rsidRPr="00BE0E8C">
        <w:rPr>
          <w:color w:val="000000"/>
        </w:rPr>
        <w:t>, shall continue to be applicable to transactions undertaken in accordance with the said Directions till the expiry of those contracts.</w:t>
      </w:r>
    </w:p>
    <w:p w:rsidR="00BD7F88" w:rsidRDefault="00BD7F88" w:rsidP="00BD7F88">
      <w:pPr>
        <w:pStyle w:val="NormalWeb"/>
        <w:pBdr>
          <w:bottom w:val="single" w:sz="12" w:space="1" w:color="auto"/>
        </w:pBdr>
        <w:shd w:val="clear" w:color="auto" w:fill="FFFFFF"/>
        <w:spacing w:before="0" w:beforeAutospacing="0" w:after="0" w:afterAutospacing="0"/>
        <w:jc w:val="both"/>
      </w:pPr>
    </w:p>
    <w:p w:rsidR="00BD7F88" w:rsidRPr="00BE0E8C" w:rsidRDefault="003327B0" w:rsidP="00BD7F88">
      <w:pPr>
        <w:pStyle w:val="NormalWeb"/>
        <w:pBdr>
          <w:bottom w:val="single" w:sz="12" w:space="1" w:color="auto"/>
        </w:pBdr>
        <w:shd w:val="clear" w:color="auto" w:fill="FFFFFF"/>
        <w:spacing w:before="0" w:beforeAutospacing="0" w:after="0" w:afterAutospacing="0"/>
        <w:jc w:val="both"/>
        <w:rPr>
          <w:color w:val="000000"/>
        </w:rPr>
      </w:pPr>
      <w:hyperlink r:id="rId124" w:history="1">
        <w:r w:rsidR="00BD7F88" w:rsidRPr="00BE0E8C">
          <w:rPr>
            <w:rStyle w:val="Hyperlink"/>
          </w:rPr>
          <w:t>https://www.rbi.org.in/Scripts/NotificationUser.aspx?Id=12061&amp;Mode=0</w:t>
        </w:r>
      </w:hyperlink>
    </w:p>
    <w:p w:rsidR="00BD7F88" w:rsidRPr="00BE0E8C" w:rsidRDefault="00BD7F88" w:rsidP="00BD7F88">
      <w:pPr>
        <w:pStyle w:val="NormalWeb"/>
        <w:shd w:val="clear" w:color="auto" w:fill="FFFFFF"/>
        <w:spacing w:before="0" w:beforeAutospacing="0" w:after="0" w:afterAutospacing="0"/>
        <w:jc w:val="both"/>
        <w:rPr>
          <w:b/>
          <w:bCs/>
          <w:color w:val="000000"/>
        </w:rPr>
      </w:pPr>
    </w:p>
    <w:p w:rsidR="00D57DA4" w:rsidRPr="00BE0E8C" w:rsidRDefault="00D57DA4" w:rsidP="00D57DA4">
      <w:pPr>
        <w:pStyle w:val="NormalWeb"/>
        <w:shd w:val="clear" w:color="auto" w:fill="FFFFFF"/>
        <w:spacing w:before="0" w:beforeAutospacing="0" w:after="0" w:afterAutospacing="0"/>
        <w:jc w:val="both"/>
        <w:rPr>
          <w:b/>
          <w:bCs/>
          <w:color w:val="000000"/>
        </w:rPr>
      </w:pPr>
      <w:r>
        <w:rPr>
          <w:b/>
          <w:bCs/>
          <w:color w:val="000000"/>
        </w:rPr>
        <w:t>24.</w:t>
      </w:r>
      <w:r w:rsidRPr="00D57DA4">
        <w:rPr>
          <w:b/>
          <w:bCs/>
          <w:color w:val="000000"/>
        </w:rPr>
        <w:t xml:space="preserve"> </w:t>
      </w:r>
      <w:r w:rsidRPr="00BE0E8C">
        <w:rPr>
          <w:b/>
          <w:bCs/>
          <w:color w:val="000000"/>
        </w:rPr>
        <w:t>Amendment to Master Direction (MD) on KYC – KYC norms for Self Help Groups (SHGs)</w:t>
      </w:r>
    </w:p>
    <w:p w:rsidR="00D57DA4" w:rsidRPr="00BE0E8C" w:rsidRDefault="00D57DA4" w:rsidP="00D57DA4">
      <w:pPr>
        <w:pStyle w:val="NormalWeb"/>
        <w:shd w:val="clear" w:color="auto" w:fill="FFFFFF"/>
        <w:spacing w:before="0" w:beforeAutospacing="0" w:after="0" w:afterAutospacing="0"/>
        <w:jc w:val="both"/>
        <w:rPr>
          <w:b/>
          <w:color w:val="000000"/>
        </w:rPr>
      </w:pPr>
    </w:p>
    <w:p w:rsidR="00D57DA4" w:rsidRPr="00BE0E8C" w:rsidRDefault="00D57DA4" w:rsidP="00D57DA4">
      <w:pPr>
        <w:pStyle w:val="NormalWeb"/>
        <w:shd w:val="clear" w:color="auto" w:fill="FFFFFF"/>
        <w:spacing w:before="0" w:beforeAutospacing="0" w:after="0" w:afterAutospacing="0"/>
        <w:jc w:val="both"/>
        <w:rPr>
          <w:b/>
          <w:color w:val="000000"/>
        </w:rPr>
      </w:pPr>
      <w:r w:rsidRPr="00BE0E8C">
        <w:rPr>
          <w:b/>
          <w:color w:val="000000"/>
        </w:rPr>
        <w:t>RBI/2021-22/10 DOR.AML.BC.No.1/14.01.001/2021-22</w:t>
      </w:r>
      <w:r w:rsidRPr="00BE0E8C">
        <w:rPr>
          <w:b/>
          <w:color w:val="000000"/>
        </w:rPr>
        <w:tab/>
      </w:r>
      <w:r w:rsidRPr="00BE0E8C">
        <w:rPr>
          <w:b/>
          <w:color w:val="000000"/>
        </w:rPr>
        <w:tab/>
      </w:r>
      <w:r w:rsidRPr="00BE0E8C">
        <w:rPr>
          <w:b/>
          <w:color w:val="000000"/>
        </w:rPr>
        <w:tab/>
        <w:t>April 1, 2021</w:t>
      </w:r>
    </w:p>
    <w:p w:rsidR="00D57DA4" w:rsidRPr="00BE0E8C" w:rsidRDefault="00D57DA4" w:rsidP="00D57DA4">
      <w:pPr>
        <w:pStyle w:val="NormalWeb"/>
        <w:shd w:val="clear" w:color="auto" w:fill="FFFFFF"/>
        <w:spacing w:before="0" w:beforeAutospacing="0" w:after="0" w:afterAutospacing="0"/>
        <w:jc w:val="both"/>
        <w:rPr>
          <w:i/>
          <w:color w:val="000000"/>
          <w:shd w:val="clear" w:color="auto" w:fill="FFFFFF"/>
        </w:rPr>
      </w:pPr>
    </w:p>
    <w:p w:rsidR="00D57DA4" w:rsidRPr="00BE0E8C" w:rsidRDefault="00D57DA4" w:rsidP="00D57DA4">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D57DA4" w:rsidRPr="00BE0E8C" w:rsidRDefault="00D57DA4" w:rsidP="00D57DA4">
      <w:pPr>
        <w:pStyle w:val="NormalWeb"/>
        <w:shd w:val="clear" w:color="auto" w:fill="FFFFFF"/>
        <w:spacing w:before="0" w:beforeAutospacing="0" w:after="0" w:afterAutospacing="0"/>
        <w:jc w:val="both"/>
        <w:rPr>
          <w:color w:val="000000"/>
        </w:rPr>
      </w:pPr>
    </w:p>
    <w:p w:rsidR="00D57DA4" w:rsidRPr="00BE0E8C" w:rsidRDefault="00D57DA4" w:rsidP="00D57DA4">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125"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D57DA4" w:rsidRPr="00BE0E8C" w:rsidRDefault="00D57DA4" w:rsidP="00D57DA4">
      <w:pPr>
        <w:pStyle w:val="NormalWeb"/>
        <w:shd w:val="clear" w:color="auto" w:fill="FFFFFF"/>
        <w:spacing w:before="0" w:beforeAutospacing="0" w:after="0" w:afterAutospacing="0"/>
        <w:jc w:val="both"/>
        <w:rPr>
          <w:color w:val="000000"/>
        </w:rPr>
      </w:pPr>
    </w:p>
    <w:p w:rsidR="00D57DA4" w:rsidRPr="00BE0E8C" w:rsidRDefault="00D57DA4" w:rsidP="00D57DA4">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D57DA4" w:rsidRDefault="00D57DA4" w:rsidP="00D57DA4">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BD7F88" w:rsidRPr="00BE0E8C" w:rsidRDefault="00BD7F88" w:rsidP="00F62046">
      <w:pPr>
        <w:pStyle w:val="NormalWeb"/>
        <w:shd w:val="clear" w:color="auto" w:fill="FFFFFF"/>
        <w:spacing w:before="0" w:beforeAutospacing="0" w:after="0" w:afterAutospacing="0"/>
        <w:jc w:val="both"/>
        <w:rPr>
          <w:b/>
          <w:bCs/>
          <w:color w:val="000000"/>
        </w:rPr>
      </w:pPr>
    </w:p>
    <w:p w:rsidR="00845B2D" w:rsidRPr="00BE0E8C" w:rsidRDefault="00845B2D" w:rsidP="00845B2D">
      <w:pPr>
        <w:spacing w:after="0" w:line="240" w:lineRule="auto"/>
        <w:jc w:val="both"/>
        <w:rPr>
          <w:rFonts w:ascii="Times New Roman" w:hAnsi="Times New Roman" w:cs="Times New Roman"/>
          <w:b/>
          <w:bCs/>
          <w:color w:val="000000"/>
          <w:sz w:val="24"/>
          <w:szCs w:val="24"/>
        </w:rPr>
      </w:pPr>
      <w:r>
        <w:rPr>
          <w:b/>
          <w:color w:val="000000"/>
        </w:rPr>
        <w:t>25.</w:t>
      </w:r>
      <w:r w:rsidRPr="00845B2D">
        <w:rPr>
          <w:rFonts w:ascii="Times New Roman" w:hAnsi="Times New Roman" w:cs="Times New Roman"/>
          <w:b/>
          <w:bCs/>
          <w:color w:val="000000"/>
          <w:sz w:val="24"/>
          <w:szCs w:val="24"/>
        </w:rPr>
        <w:t xml:space="preserve"> </w:t>
      </w:r>
      <w:r w:rsidRPr="00BE0E8C">
        <w:rPr>
          <w:rFonts w:ascii="Times New Roman" w:hAnsi="Times New Roman" w:cs="Times New Roman"/>
          <w:b/>
          <w:bCs/>
          <w:color w:val="000000"/>
          <w:sz w:val="24"/>
          <w:szCs w:val="24"/>
        </w:rPr>
        <w:t>Master Direction – Non-Banking Financial Company – Housing Finance Company (Reserve Bank) Directions, 2021</w:t>
      </w:r>
    </w:p>
    <w:p w:rsidR="00845B2D" w:rsidRPr="00BE0E8C" w:rsidRDefault="00845B2D" w:rsidP="00845B2D">
      <w:pPr>
        <w:pStyle w:val="NormalWeb"/>
        <w:shd w:val="clear" w:color="auto" w:fill="FFFFFF"/>
        <w:spacing w:before="0" w:beforeAutospacing="0" w:after="0" w:afterAutospacing="0"/>
        <w:jc w:val="both"/>
        <w:rPr>
          <w:b/>
          <w:color w:val="000000"/>
        </w:rPr>
      </w:pPr>
    </w:p>
    <w:p w:rsidR="00845B2D" w:rsidRPr="00BE0E8C" w:rsidRDefault="00845B2D" w:rsidP="00845B2D">
      <w:pPr>
        <w:pStyle w:val="NormalWeb"/>
        <w:shd w:val="clear" w:color="auto" w:fill="FFFFFF"/>
        <w:spacing w:before="0" w:beforeAutospacing="0" w:after="0" w:afterAutospacing="0"/>
        <w:jc w:val="both"/>
        <w:rPr>
          <w:b/>
          <w:color w:val="000000"/>
        </w:rPr>
      </w:pPr>
      <w:r w:rsidRPr="00BE0E8C">
        <w:rPr>
          <w:b/>
          <w:color w:val="000000"/>
        </w:rPr>
        <w:t>RBI/2020-21/73 DOR.FIN.HFC.CC.No.120/03.10.136/2020-21</w:t>
      </w:r>
      <w:r w:rsidRPr="00BE0E8C">
        <w:rPr>
          <w:b/>
          <w:color w:val="000000"/>
        </w:rPr>
        <w:tab/>
        <w:t xml:space="preserve">        February 17, 2021</w:t>
      </w:r>
    </w:p>
    <w:p w:rsidR="00845B2D" w:rsidRPr="00BE0E8C" w:rsidRDefault="00845B2D" w:rsidP="00845B2D">
      <w:pPr>
        <w:pStyle w:val="NormalWeb"/>
        <w:shd w:val="clear" w:color="auto" w:fill="FFFFFF"/>
        <w:spacing w:before="0" w:beforeAutospacing="0" w:after="0" w:afterAutospacing="0"/>
        <w:jc w:val="both"/>
        <w:rPr>
          <w:color w:val="000000"/>
          <w:shd w:val="clear" w:color="auto" w:fill="FFFFFF"/>
        </w:rPr>
      </w:pPr>
    </w:p>
    <w:p w:rsidR="00845B2D" w:rsidRPr="00BE0E8C" w:rsidRDefault="00845B2D" w:rsidP="00845B2D">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The Reserve Bank of India (the Bank), having considered it necessary in the public interest, and being satisfied that, for the purpose of enabling the Bank to regulate the financial system to the advantage of the country and to prevent the affairs of any Housing Finance Company (HFCs) from being conducted in a manner detrimental to the interest of investors and depositors or in any manner prejudicial to the interest of such HFCs, and in exercise of the powers conferred under sections 45L and 45MA of the Reserve Bank of India Act, 1934 and Sections 30, 30A, 32 and 33 of the National Housing Bank Act, 1987, hereby issues to every HFC, in supersession of the regulations/ directions as given in Chapter XVII of these directions, the </w:t>
      </w:r>
      <w:hyperlink r:id="rId126" w:tgtFrame="_blank" w:history="1">
        <w:r w:rsidRPr="00BE0E8C">
          <w:rPr>
            <w:rStyle w:val="Hyperlink"/>
            <w:shd w:val="clear" w:color="auto" w:fill="FFFFFF"/>
          </w:rPr>
          <w:t>Non-Banking Financial Company – Housing Finance Company (Reserve Bank) Directions, 2021</w:t>
        </w:r>
      </w:hyperlink>
      <w:r w:rsidRPr="00BE0E8C">
        <w:rPr>
          <w:color w:val="000000"/>
          <w:shd w:val="clear" w:color="auto" w:fill="FFFFFF"/>
        </w:rPr>
        <w:t> hereinafter specified.</w:t>
      </w:r>
    </w:p>
    <w:p w:rsidR="00845B2D" w:rsidRPr="00BE0E8C" w:rsidRDefault="00845B2D" w:rsidP="00845B2D">
      <w:pPr>
        <w:pStyle w:val="NormalWeb"/>
        <w:shd w:val="clear" w:color="auto" w:fill="FFFFFF"/>
        <w:spacing w:before="0" w:beforeAutospacing="0" w:after="0" w:afterAutospacing="0"/>
        <w:jc w:val="both"/>
      </w:pPr>
    </w:p>
    <w:p w:rsidR="00845B2D" w:rsidRDefault="003327B0" w:rsidP="00845B2D">
      <w:pPr>
        <w:pStyle w:val="NormalWeb"/>
        <w:pBdr>
          <w:bottom w:val="single" w:sz="12" w:space="1" w:color="auto"/>
        </w:pBdr>
        <w:shd w:val="clear" w:color="auto" w:fill="FFFFFF"/>
        <w:spacing w:before="0" w:beforeAutospacing="0" w:after="0" w:afterAutospacing="0"/>
        <w:jc w:val="both"/>
        <w:rPr>
          <w:color w:val="000000"/>
        </w:rPr>
      </w:pPr>
      <w:hyperlink r:id="rId127" w:history="1">
        <w:r w:rsidR="00845B2D" w:rsidRPr="00BE0E8C">
          <w:rPr>
            <w:rStyle w:val="Hyperlink"/>
          </w:rPr>
          <w:t>https://rbidocs.rbi.org.in/rdocs/content/pdfs/MD100017022021_A.pdf</w:t>
        </w:r>
      </w:hyperlink>
    </w:p>
    <w:p w:rsidR="00845B2D" w:rsidRPr="00BE0E8C" w:rsidRDefault="00845B2D" w:rsidP="00845B2D">
      <w:pPr>
        <w:pStyle w:val="NormalWeb"/>
        <w:shd w:val="clear" w:color="auto" w:fill="FFFFFF"/>
        <w:spacing w:before="0" w:beforeAutospacing="0" w:after="0" w:afterAutospacing="0"/>
        <w:jc w:val="both"/>
        <w:rPr>
          <w:b/>
          <w:bCs/>
          <w:color w:val="000000"/>
        </w:rPr>
      </w:pPr>
    </w:p>
    <w:p w:rsidR="0093041F" w:rsidRPr="00BE0E8C" w:rsidRDefault="0093041F" w:rsidP="0093041F">
      <w:pPr>
        <w:pStyle w:val="NormalWeb"/>
        <w:shd w:val="clear" w:color="auto" w:fill="FFFFFF"/>
        <w:spacing w:before="0" w:beforeAutospacing="0" w:after="0" w:afterAutospacing="0"/>
        <w:jc w:val="both"/>
        <w:rPr>
          <w:b/>
          <w:color w:val="000000"/>
        </w:rPr>
      </w:pPr>
      <w:r>
        <w:rPr>
          <w:b/>
          <w:color w:val="000000"/>
        </w:rPr>
        <w:t xml:space="preserve">26. </w:t>
      </w:r>
    </w:p>
    <w:p w:rsidR="0093041F" w:rsidRPr="00BE0E8C" w:rsidRDefault="0093041F" w:rsidP="0093041F">
      <w:pPr>
        <w:pStyle w:val="NormalWeb"/>
        <w:shd w:val="clear" w:color="auto" w:fill="FFFFFF"/>
        <w:spacing w:before="0" w:beforeAutospacing="0" w:after="0" w:afterAutospacing="0"/>
        <w:jc w:val="both"/>
        <w:rPr>
          <w:b/>
          <w:color w:val="000000"/>
        </w:rPr>
      </w:pPr>
      <w:r w:rsidRPr="00BE0E8C">
        <w:rPr>
          <w:b/>
          <w:color w:val="000000"/>
        </w:rPr>
        <w:t>Investment in NBFCs from FATF non-compliant jurisdictions</w:t>
      </w:r>
    </w:p>
    <w:p w:rsidR="0093041F" w:rsidRPr="00BE0E8C" w:rsidRDefault="0093041F" w:rsidP="0093041F">
      <w:pPr>
        <w:pStyle w:val="NormalWeb"/>
        <w:shd w:val="clear" w:color="auto" w:fill="FFFFFF"/>
        <w:spacing w:before="0" w:beforeAutospacing="0" w:after="0" w:afterAutospacing="0"/>
        <w:jc w:val="both"/>
        <w:rPr>
          <w:b/>
          <w:color w:val="000000"/>
        </w:rPr>
      </w:pPr>
    </w:p>
    <w:p w:rsidR="0093041F" w:rsidRPr="00BE0E8C" w:rsidRDefault="0093041F" w:rsidP="0093041F">
      <w:pPr>
        <w:pStyle w:val="NormalWeb"/>
        <w:shd w:val="clear" w:color="auto" w:fill="FFFFFF"/>
        <w:spacing w:before="0" w:beforeAutospacing="0" w:after="0" w:afterAutospacing="0"/>
        <w:jc w:val="both"/>
        <w:rPr>
          <w:b/>
          <w:color w:val="000000"/>
        </w:rPr>
      </w:pPr>
      <w:r w:rsidRPr="00BE0E8C">
        <w:rPr>
          <w:b/>
          <w:color w:val="000000"/>
        </w:rPr>
        <w:t>RBI/2020-2021/97 DOR.CO.LIC.CC No.119/03.10.001/2020-21</w:t>
      </w:r>
      <w:r w:rsidRPr="00BE0E8C">
        <w:rPr>
          <w:b/>
          <w:color w:val="000000"/>
        </w:rPr>
        <w:tab/>
        <w:t xml:space="preserve">        February 12, 2021</w:t>
      </w:r>
    </w:p>
    <w:p w:rsidR="0093041F" w:rsidRPr="00BE0E8C" w:rsidRDefault="0093041F" w:rsidP="0093041F">
      <w:pPr>
        <w:shd w:val="clear" w:color="auto" w:fill="FFFFFF"/>
        <w:spacing w:after="0" w:line="240" w:lineRule="auto"/>
        <w:jc w:val="both"/>
        <w:rPr>
          <w:rFonts w:ascii="Times New Roman" w:hAnsi="Times New Roman" w:cs="Times New Roman"/>
          <w:color w:val="000000"/>
          <w:sz w:val="24"/>
          <w:szCs w:val="24"/>
          <w:shd w:val="clear" w:color="auto" w:fill="FFFFFF"/>
        </w:rPr>
      </w:pPr>
    </w:p>
    <w:p w:rsidR="0093041F" w:rsidRPr="00BE0E8C" w:rsidRDefault="0093041F" w:rsidP="0093041F">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hAnsi="Times New Roman" w:cs="Times New Roman"/>
          <w:i/>
          <w:color w:val="000000"/>
          <w:sz w:val="24"/>
          <w:szCs w:val="24"/>
          <w:shd w:val="clear" w:color="auto" w:fill="FFFFFF"/>
        </w:rPr>
        <w:t>Non-Banking Financial Companies (NBFCs) (including Housing Finance Companies) and Asset Reconstruction Companies</w:t>
      </w:r>
    </w:p>
    <w:p w:rsidR="0093041F" w:rsidRPr="00BE0E8C" w:rsidRDefault="0093041F" w:rsidP="0093041F">
      <w:pPr>
        <w:pStyle w:val="NormalWeb"/>
        <w:shd w:val="clear" w:color="auto" w:fill="FFFFFF"/>
        <w:spacing w:before="0" w:beforeAutospacing="0" w:after="0" w:afterAutospacing="0"/>
        <w:jc w:val="both"/>
        <w:rPr>
          <w:color w:val="000000"/>
        </w:rPr>
      </w:pPr>
    </w:p>
    <w:p w:rsidR="0093041F" w:rsidRPr="00BE0E8C" w:rsidRDefault="0093041F" w:rsidP="0093041F">
      <w:pPr>
        <w:pStyle w:val="NormalWeb"/>
        <w:shd w:val="clear" w:color="auto" w:fill="FFFFFF"/>
        <w:spacing w:before="0" w:beforeAutospacing="0" w:after="0" w:afterAutospacing="0"/>
        <w:jc w:val="both"/>
        <w:rPr>
          <w:color w:val="000000"/>
        </w:rPr>
      </w:pPr>
      <w:r w:rsidRPr="00BE0E8C">
        <w:rPr>
          <w:color w:val="000000"/>
        </w:rPr>
        <w:t>The Financial Action Task Force (FATF) periodically identifies jurisdictions with weak measures to combat money laundering and terrorist financing (AML/CFT) in its following publications: i) High-Risk Jurisdictions subject to a Call for Action, and ii) Jurisdictions under Increased Monitoring. A jurisdiction, whose name does not appear in the two aforementioned lists, shall be referred to as a FATF compliant jurisdiction. Investments in NBFCs from FATF non-compliant jurisdictions shall not be treated at par with that from the compliant jurisdictions.</w:t>
      </w:r>
    </w:p>
    <w:p w:rsidR="0093041F" w:rsidRPr="00BE0E8C" w:rsidRDefault="0093041F" w:rsidP="0093041F">
      <w:pPr>
        <w:pStyle w:val="NormalWeb"/>
        <w:shd w:val="clear" w:color="auto" w:fill="FFFFFF"/>
        <w:spacing w:before="0" w:beforeAutospacing="0" w:after="0" w:afterAutospacing="0"/>
        <w:jc w:val="both"/>
        <w:rPr>
          <w:color w:val="000000"/>
        </w:rPr>
      </w:pPr>
    </w:p>
    <w:p w:rsidR="0093041F" w:rsidRPr="00BE0E8C" w:rsidRDefault="0093041F" w:rsidP="0093041F">
      <w:pPr>
        <w:pStyle w:val="NormalWeb"/>
        <w:shd w:val="clear" w:color="auto" w:fill="FFFFFF"/>
        <w:spacing w:before="0" w:beforeAutospacing="0" w:after="0" w:afterAutospacing="0"/>
        <w:jc w:val="both"/>
        <w:rPr>
          <w:color w:val="000000"/>
        </w:rPr>
      </w:pPr>
      <w:r w:rsidRPr="00BE0E8C">
        <w:rPr>
          <w:color w:val="000000"/>
        </w:rPr>
        <w:lastRenderedPageBreak/>
        <w:t>2. Investors in existing NBFCs holding their investments prior to the classification of the source or intermediate jurisdiction/s as FATF non-compliant, may continue with the investments or bring in additional investments as per extant regulations so as to support continuity of business in India.</w:t>
      </w:r>
    </w:p>
    <w:p w:rsidR="0093041F" w:rsidRPr="00BE0E8C" w:rsidRDefault="0093041F" w:rsidP="0093041F">
      <w:pPr>
        <w:pStyle w:val="NormalWeb"/>
        <w:shd w:val="clear" w:color="auto" w:fill="FFFFFF"/>
        <w:spacing w:before="0" w:beforeAutospacing="0" w:after="0" w:afterAutospacing="0"/>
        <w:jc w:val="both"/>
        <w:rPr>
          <w:color w:val="000000"/>
        </w:rPr>
      </w:pPr>
    </w:p>
    <w:p w:rsidR="0093041F" w:rsidRPr="00BE0E8C" w:rsidRDefault="0093041F" w:rsidP="0093041F">
      <w:pPr>
        <w:pStyle w:val="NormalWeb"/>
        <w:shd w:val="clear" w:color="auto" w:fill="FFFFFF"/>
        <w:spacing w:before="0" w:beforeAutospacing="0" w:after="0" w:afterAutospacing="0"/>
        <w:jc w:val="both"/>
        <w:rPr>
          <w:color w:val="000000"/>
        </w:rPr>
      </w:pPr>
      <w:r w:rsidRPr="00BE0E8C">
        <w:rPr>
          <w:color w:val="000000"/>
        </w:rPr>
        <w:t>3. New investors from or through non-compliant FATF jurisdictions, whether in existing NBFCs or in companies seeking Certification of Registration (COR), should not be allowed to directly or indirectly acquire ‘significant influence’ in the investee, as defined in the applicable accounting standards. In other words, fresh investors (directly or indirectly) from such jurisdictions in aggregate should be less than the threshold of 20 per cent of the voting power (including potential</w:t>
      </w:r>
      <w:hyperlink r:id="rId128" w:anchor="F1" w:history="1">
        <w:r w:rsidRPr="00BE0E8C">
          <w:rPr>
            <w:rStyle w:val="Hyperlink"/>
            <w:vertAlign w:val="superscript"/>
          </w:rPr>
          <w:t>1</w:t>
        </w:r>
      </w:hyperlink>
      <w:r w:rsidRPr="00BE0E8C">
        <w:rPr>
          <w:color w:val="000000"/>
        </w:rPr>
        <w:t> voting power) of the NBFC.</w:t>
      </w:r>
    </w:p>
    <w:p w:rsidR="0093041F" w:rsidRPr="00BE0E8C" w:rsidRDefault="0093041F" w:rsidP="0093041F">
      <w:pPr>
        <w:pStyle w:val="NormalWeb"/>
        <w:shd w:val="clear" w:color="auto" w:fill="FFFFFF"/>
        <w:spacing w:before="0" w:beforeAutospacing="0" w:after="0" w:afterAutospacing="0"/>
        <w:jc w:val="both"/>
        <w:rPr>
          <w:color w:val="000000"/>
        </w:rPr>
      </w:pPr>
    </w:p>
    <w:p w:rsidR="0093041F" w:rsidRPr="00BE0E8C" w:rsidRDefault="0093041F" w:rsidP="0093041F">
      <w:pPr>
        <w:pStyle w:val="NormalWeb"/>
        <w:shd w:val="clear" w:color="auto" w:fill="FFFFFF"/>
        <w:spacing w:before="0" w:beforeAutospacing="0" w:after="0" w:afterAutospacing="0"/>
        <w:jc w:val="both"/>
        <w:rPr>
          <w:color w:val="000000"/>
        </w:rPr>
      </w:pPr>
      <w:r w:rsidRPr="00BE0E8C">
        <w:rPr>
          <w:color w:val="000000"/>
        </w:rPr>
        <w:t>4. These instructions are applicable with immediate effect.</w:t>
      </w:r>
    </w:p>
    <w:p w:rsidR="0093041F" w:rsidRPr="00BE0E8C" w:rsidRDefault="0093041F" w:rsidP="0093041F">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93041F" w:rsidRPr="00BE0E8C" w:rsidRDefault="0093041F" w:rsidP="0093041F">
      <w:pPr>
        <w:shd w:val="clear" w:color="auto" w:fill="FFFFFF"/>
        <w:spacing w:after="0" w:line="240" w:lineRule="auto"/>
        <w:jc w:val="both"/>
        <w:rPr>
          <w:rFonts w:ascii="Times New Roman" w:hAnsi="Times New Roman" w:cs="Times New Roman"/>
          <w:b/>
          <w:bCs/>
          <w:color w:val="000000"/>
          <w:sz w:val="24"/>
          <w:szCs w:val="24"/>
        </w:rPr>
      </w:pPr>
    </w:p>
    <w:p w:rsidR="00A941B4" w:rsidRPr="00BE0E8C" w:rsidRDefault="00A941B4" w:rsidP="00A941B4">
      <w:pPr>
        <w:pStyle w:val="NormalWeb"/>
        <w:shd w:val="clear" w:color="auto" w:fill="FFFFFF"/>
        <w:spacing w:before="0" w:beforeAutospacing="0" w:after="0" w:afterAutospacing="0"/>
        <w:jc w:val="both"/>
        <w:rPr>
          <w:b/>
          <w:color w:val="000000"/>
        </w:rPr>
      </w:pPr>
      <w:r>
        <w:rPr>
          <w:b/>
          <w:color w:val="000000"/>
        </w:rPr>
        <w:t xml:space="preserve">27. </w:t>
      </w:r>
      <w:r w:rsidRPr="00BE0E8C">
        <w:rPr>
          <w:b/>
          <w:color w:val="000000"/>
        </w:rPr>
        <w:t>Credit to MSME Entrepreneurs</w:t>
      </w:r>
    </w:p>
    <w:p w:rsidR="00A941B4" w:rsidRPr="00BE0E8C" w:rsidRDefault="00A941B4" w:rsidP="00A941B4">
      <w:pPr>
        <w:pStyle w:val="NormalWeb"/>
        <w:shd w:val="clear" w:color="auto" w:fill="FFFFFF"/>
        <w:spacing w:before="0" w:beforeAutospacing="0" w:after="0" w:afterAutospacing="0"/>
        <w:jc w:val="both"/>
        <w:rPr>
          <w:b/>
          <w:color w:val="000000"/>
        </w:rPr>
      </w:pPr>
    </w:p>
    <w:p w:rsidR="00A941B4" w:rsidRPr="00BE0E8C" w:rsidRDefault="00A941B4" w:rsidP="00A941B4">
      <w:pPr>
        <w:pStyle w:val="NormalWeb"/>
        <w:shd w:val="clear" w:color="auto" w:fill="FFFFFF"/>
        <w:spacing w:before="0" w:beforeAutospacing="0" w:after="0" w:afterAutospacing="0"/>
        <w:jc w:val="both"/>
        <w:rPr>
          <w:b/>
          <w:color w:val="000000"/>
        </w:rPr>
      </w:pPr>
      <w:r w:rsidRPr="00BE0E8C">
        <w:rPr>
          <w:b/>
          <w:color w:val="000000"/>
        </w:rPr>
        <w:t>RBI/2021-22/30 DoR.RET.REC.09/12.01.001/2021-22</w:t>
      </w:r>
      <w:r w:rsidRPr="00BE0E8C">
        <w:rPr>
          <w:b/>
          <w:color w:val="000000"/>
        </w:rPr>
        <w:tab/>
      </w:r>
      <w:r w:rsidRPr="00BE0E8C">
        <w:rPr>
          <w:b/>
          <w:color w:val="000000"/>
        </w:rPr>
        <w:tab/>
      </w:r>
      <w:r w:rsidRPr="00BE0E8C">
        <w:rPr>
          <w:b/>
          <w:color w:val="000000"/>
        </w:rPr>
        <w:tab/>
        <w:t>May 05, 2021</w:t>
      </w:r>
    </w:p>
    <w:p w:rsidR="00A941B4" w:rsidRPr="00BE0E8C" w:rsidRDefault="00A941B4" w:rsidP="00A941B4">
      <w:pPr>
        <w:pStyle w:val="NormalWeb"/>
        <w:shd w:val="clear" w:color="auto" w:fill="FFFFFF"/>
        <w:spacing w:before="0" w:beforeAutospacing="0" w:after="0" w:afterAutospacing="0"/>
        <w:jc w:val="both"/>
        <w:rPr>
          <w:b/>
          <w:color w:val="000000"/>
        </w:rPr>
      </w:pPr>
    </w:p>
    <w:p w:rsidR="00A941B4" w:rsidRPr="00BE0E8C" w:rsidRDefault="00A941B4" w:rsidP="00A941B4">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A941B4" w:rsidRPr="00BE0E8C" w:rsidRDefault="00A941B4" w:rsidP="00A941B4">
      <w:pPr>
        <w:pStyle w:val="NormalWeb"/>
        <w:shd w:val="clear" w:color="auto" w:fill="FFFFFF"/>
        <w:spacing w:before="0" w:beforeAutospacing="0" w:after="0" w:afterAutospacing="0"/>
        <w:jc w:val="both"/>
        <w:rPr>
          <w:i/>
          <w:color w:val="000000"/>
        </w:rPr>
      </w:pPr>
    </w:p>
    <w:p w:rsidR="00A941B4" w:rsidRPr="00BE0E8C" w:rsidRDefault="00A941B4" w:rsidP="00A941B4">
      <w:pPr>
        <w:pStyle w:val="NormalWeb"/>
        <w:shd w:val="clear" w:color="auto" w:fill="FFFFFF"/>
        <w:spacing w:before="0" w:beforeAutospacing="0" w:after="0" w:afterAutospacing="0"/>
        <w:jc w:val="both"/>
        <w:rPr>
          <w:color w:val="000000"/>
        </w:rPr>
      </w:pPr>
      <w:r w:rsidRPr="00BE0E8C">
        <w:rPr>
          <w:color w:val="000000"/>
        </w:rPr>
        <w:t>Please refer to our circular DOR.No.Ret.BC.37/12.01.001/2020-21 dated February 5, 2021, on captioned subject.</w:t>
      </w:r>
    </w:p>
    <w:p w:rsidR="00A941B4" w:rsidRPr="00BE0E8C" w:rsidRDefault="00A941B4" w:rsidP="00A941B4">
      <w:pPr>
        <w:pStyle w:val="NormalWeb"/>
        <w:shd w:val="clear" w:color="auto" w:fill="FFFFFF"/>
        <w:spacing w:before="0" w:beforeAutospacing="0" w:after="0" w:afterAutospacing="0"/>
        <w:jc w:val="both"/>
        <w:rPr>
          <w:color w:val="000000"/>
        </w:rPr>
      </w:pPr>
    </w:p>
    <w:p w:rsidR="00A941B4" w:rsidRPr="00BE0E8C" w:rsidRDefault="00A941B4" w:rsidP="00A941B4">
      <w:pPr>
        <w:pStyle w:val="NormalWeb"/>
        <w:shd w:val="clear" w:color="auto" w:fill="FFFFFF"/>
        <w:spacing w:before="0" w:beforeAutospacing="0" w:after="0" w:afterAutospacing="0"/>
        <w:jc w:val="both"/>
        <w:rPr>
          <w:color w:val="000000"/>
        </w:rPr>
      </w:pPr>
      <w:r w:rsidRPr="00BE0E8C">
        <w:rPr>
          <w:color w:val="000000"/>
        </w:rPr>
        <w:t>2. In terms of the above circular, Scheduled Commercial Banks were allowed to deduct the amount equivalent to credit disbursed to new MSME borrowers from their Net Demand and Time Liabilities (NDTL) for calculation of the Cash Reserve Ratio (CRR). This exemption was available up to ₹ 25 lakh per borrower for the credit disbursed up to the fortnight ending October 1, 2021.</w:t>
      </w:r>
    </w:p>
    <w:p w:rsidR="00A941B4" w:rsidRPr="00BE0E8C" w:rsidRDefault="00A941B4" w:rsidP="00A941B4">
      <w:pPr>
        <w:pStyle w:val="NormalWeb"/>
        <w:shd w:val="clear" w:color="auto" w:fill="FFFFFF"/>
        <w:spacing w:before="0" w:beforeAutospacing="0" w:after="0" w:afterAutospacing="0"/>
        <w:jc w:val="both"/>
        <w:rPr>
          <w:color w:val="000000"/>
        </w:rPr>
      </w:pPr>
    </w:p>
    <w:p w:rsidR="00A941B4" w:rsidRPr="00BE0E8C" w:rsidRDefault="00A941B4" w:rsidP="00A941B4">
      <w:pPr>
        <w:pStyle w:val="NormalWeb"/>
        <w:shd w:val="clear" w:color="auto" w:fill="FFFFFF"/>
        <w:spacing w:before="0" w:beforeAutospacing="0" w:after="0" w:afterAutospacing="0"/>
        <w:jc w:val="both"/>
        <w:rPr>
          <w:color w:val="000000"/>
        </w:rPr>
      </w:pPr>
      <w:r w:rsidRPr="00BE0E8C">
        <w:rPr>
          <w:color w:val="000000"/>
        </w:rPr>
        <w:t>3. It has been decided to extend this exemption for such credits disbursed up to the fortnight ending December 31, 2021. All other instructions contained in the circular ibid remain same.</w:t>
      </w:r>
    </w:p>
    <w:p w:rsidR="00A941B4" w:rsidRPr="00BE0E8C" w:rsidRDefault="00A941B4" w:rsidP="00A941B4">
      <w:pPr>
        <w:pStyle w:val="NormalWeb"/>
        <w:pBdr>
          <w:bottom w:val="single" w:sz="12" w:space="1" w:color="auto"/>
        </w:pBdr>
        <w:shd w:val="clear" w:color="auto" w:fill="FFFFFF"/>
        <w:spacing w:before="0" w:beforeAutospacing="0" w:after="0" w:afterAutospacing="0"/>
        <w:jc w:val="both"/>
        <w:rPr>
          <w:color w:val="000000"/>
        </w:rPr>
      </w:pPr>
    </w:p>
    <w:p w:rsidR="00E90ABC" w:rsidRPr="00BE0E8C" w:rsidRDefault="00E90ABC" w:rsidP="00E90ABC">
      <w:pPr>
        <w:pStyle w:val="NormalWeb"/>
        <w:shd w:val="clear" w:color="auto" w:fill="FFFFFF"/>
        <w:spacing w:before="0" w:beforeAutospacing="0" w:after="0" w:afterAutospacing="0"/>
        <w:jc w:val="both"/>
        <w:rPr>
          <w:b/>
          <w:color w:val="000000"/>
        </w:rPr>
      </w:pPr>
    </w:p>
    <w:p w:rsidR="00030D73" w:rsidRPr="00BE0E8C" w:rsidRDefault="00030D73" w:rsidP="00030D73">
      <w:pPr>
        <w:pStyle w:val="NormalWeb"/>
        <w:shd w:val="clear" w:color="auto" w:fill="FFFFFF"/>
        <w:spacing w:before="0" w:beforeAutospacing="0" w:after="0" w:afterAutospacing="0"/>
        <w:jc w:val="both"/>
        <w:rPr>
          <w:b/>
          <w:color w:val="000000"/>
        </w:rPr>
      </w:pPr>
      <w:r>
        <w:rPr>
          <w:b/>
          <w:bCs/>
          <w:color w:val="000000"/>
        </w:rPr>
        <w:t>28.</w:t>
      </w:r>
      <w:r w:rsidRPr="00030D73">
        <w:rPr>
          <w:b/>
          <w:color w:val="000000"/>
        </w:rPr>
        <w:t xml:space="preserve"> </w:t>
      </w:r>
      <w:r w:rsidRPr="00BE0E8C">
        <w:rPr>
          <w:b/>
          <w:color w:val="000000"/>
        </w:rPr>
        <w:t>Section 24 of the Banking Regulation Act, 1949 – Maintenance of Statutory Liquidity Ratio (SLR) – Marginal Standing Facility (MSF) - Extension of Relaxation</w:t>
      </w:r>
    </w:p>
    <w:p w:rsidR="00030D73" w:rsidRPr="00BE0E8C" w:rsidRDefault="00030D73" w:rsidP="00030D73">
      <w:pPr>
        <w:pStyle w:val="NormalWeb"/>
        <w:shd w:val="clear" w:color="auto" w:fill="FFFFFF"/>
        <w:spacing w:before="0" w:beforeAutospacing="0" w:after="0" w:afterAutospacing="0"/>
        <w:jc w:val="both"/>
        <w:rPr>
          <w:b/>
          <w:color w:val="000000"/>
        </w:rPr>
      </w:pPr>
    </w:p>
    <w:p w:rsidR="00030D73" w:rsidRPr="00BE0E8C" w:rsidRDefault="00030D73" w:rsidP="00030D73">
      <w:pPr>
        <w:pStyle w:val="NormalWeb"/>
        <w:shd w:val="clear" w:color="auto" w:fill="FFFFFF"/>
        <w:spacing w:before="0" w:beforeAutospacing="0" w:after="0" w:afterAutospacing="0"/>
        <w:jc w:val="both"/>
        <w:rPr>
          <w:b/>
          <w:color w:val="000000"/>
        </w:rPr>
      </w:pPr>
      <w:r w:rsidRPr="00BE0E8C">
        <w:rPr>
          <w:b/>
          <w:color w:val="000000"/>
        </w:rPr>
        <w:t>RBI/2020-21/91 DOR.No.Ret.BC.36/12.01.001/2020-21</w:t>
      </w:r>
      <w:r w:rsidRPr="00BE0E8C">
        <w:rPr>
          <w:b/>
          <w:color w:val="000000"/>
        </w:rPr>
        <w:tab/>
      </w:r>
      <w:r w:rsidRPr="00BE0E8C">
        <w:rPr>
          <w:b/>
          <w:color w:val="000000"/>
        </w:rPr>
        <w:tab/>
        <w:t>February 05, 2021</w:t>
      </w:r>
    </w:p>
    <w:p w:rsidR="00030D73" w:rsidRPr="00BE0E8C" w:rsidRDefault="00030D73" w:rsidP="00030D73">
      <w:pPr>
        <w:pStyle w:val="NormalWeb"/>
        <w:shd w:val="clear" w:color="auto" w:fill="FFFFFF"/>
        <w:spacing w:before="0" w:beforeAutospacing="0" w:after="0" w:afterAutospacing="0"/>
        <w:jc w:val="both"/>
        <w:rPr>
          <w:i/>
          <w:color w:val="000000"/>
        </w:rPr>
      </w:pPr>
    </w:p>
    <w:p w:rsidR="00030D73" w:rsidRPr="00BE0E8C" w:rsidRDefault="00030D73" w:rsidP="00030D73">
      <w:pPr>
        <w:pStyle w:val="NormalWeb"/>
        <w:shd w:val="clear" w:color="auto" w:fill="FFFFFF"/>
        <w:spacing w:before="0" w:beforeAutospacing="0" w:after="0" w:afterAutospacing="0"/>
        <w:jc w:val="both"/>
        <w:rPr>
          <w:i/>
          <w:color w:val="000000"/>
        </w:rPr>
      </w:pPr>
      <w:r w:rsidRPr="00BE0E8C">
        <w:rPr>
          <w:i/>
          <w:color w:val="000000"/>
        </w:rPr>
        <w:t>All Scheduled Banks</w:t>
      </w:r>
    </w:p>
    <w:p w:rsidR="00030D73" w:rsidRPr="00BE0E8C" w:rsidRDefault="00030D73" w:rsidP="00030D73">
      <w:pPr>
        <w:pStyle w:val="NormalWeb"/>
        <w:shd w:val="clear" w:color="auto" w:fill="FFFFFF"/>
        <w:spacing w:before="0" w:beforeAutospacing="0" w:after="0" w:afterAutospacing="0"/>
        <w:jc w:val="both"/>
        <w:rPr>
          <w:color w:val="000000"/>
        </w:rPr>
      </w:pPr>
    </w:p>
    <w:p w:rsidR="00030D73" w:rsidRPr="00BE0E8C" w:rsidRDefault="00030D73" w:rsidP="00030D73">
      <w:pPr>
        <w:pStyle w:val="NormalWeb"/>
        <w:shd w:val="clear" w:color="auto" w:fill="FFFFFF"/>
        <w:spacing w:before="0" w:beforeAutospacing="0" w:after="0" w:afterAutospacing="0"/>
        <w:jc w:val="both"/>
        <w:rPr>
          <w:color w:val="000000"/>
        </w:rPr>
      </w:pPr>
      <w:r w:rsidRPr="00BE0E8C">
        <w:rPr>
          <w:color w:val="000000"/>
        </w:rPr>
        <w:t>Please refer to our </w:t>
      </w:r>
      <w:hyperlink r:id="rId129" w:tgtFrame="_blank" w:history="1">
        <w:r w:rsidRPr="00BE0E8C">
          <w:rPr>
            <w:rStyle w:val="Hyperlink"/>
          </w:rPr>
          <w:t>circulars DOR.No.Ret.BC.52/12.01.001/2019-20 dated March 27, 2020</w:t>
        </w:r>
      </w:hyperlink>
      <w:r w:rsidRPr="00BE0E8C">
        <w:rPr>
          <w:color w:val="000000"/>
        </w:rPr>
        <w:t>, </w:t>
      </w:r>
      <w:hyperlink r:id="rId130" w:tgtFrame="_blank" w:history="1">
        <w:r w:rsidRPr="00BE0E8C">
          <w:rPr>
            <w:rStyle w:val="Hyperlink"/>
          </w:rPr>
          <w:t>DOR.RRB.No.28/31.01.001/2020-21 dated December 4, 2020</w:t>
        </w:r>
      </w:hyperlink>
      <w:r w:rsidRPr="00BE0E8C">
        <w:rPr>
          <w:color w:val="000000"/>
        </w:rPr>
        <w:t> and </w:t>
      </w:r>
      <w:hyperlink r:id="rId131" w:tgtFrame="_blank" w:history="1">
        <w:r w:rsidRPr="00BE0E8C">
          <w:rPr>
            <w:rStyle w:val="Hyperlink"/>
          </w:rPr>
          <w:t>Press Release No.2020-2021/401 dated September 28, 2020</w:t>
        </w:r>
      </w:hyperlink>
      <w:r w:rsidRPr="00BE0E8C">
        <w:rPr>
          <w:color w:val="000000"/>
        </w:rPr>
        <w:t xml:space="preserve">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w:t>
      </w:r>
      <w:r w:rsidRPr="00BE0E8C">
        <w:rPr>
          <w:color w:val="000000"/>
        </w:rPr>
        <w:lastRenderedPageBreak/>
        <w:t>later extended in phases up to March 31, 2021 providing comfort to banks on their liquidity requirements and also to enable them to meet their Liquidity Coverage Ratio (LCR) requirements.</w:t>
      </w:r>
    </w:p>
    <w:p w:rsidR="00030D73" w:rsidRPr="00BE0E8C" w:rsidRDefault="00030D73" w:rsidP="00030D73">
      <w:pPr>
        <w:pStyle w:val="NormalWeb"/>
        <w:shd w:val="clear" w:color="auto" w:fill="FFFFFF"/>
        <w:spacing w:before="0" w:beforeAutospacing="0" w:after="0" w:afterAutospacing="0"/>
        <w:jc w:val="both"/>
        <w:rPr>
          <w:color w:val="000000"/>
        </w:rPr>
      </w:pPr>
    </w:p>
    <w:p w:rsidR="00030D73" w:rsidRPr="00BE0E8C" w:rsidRDefault="00030D73" w:rsidP="00030D73">
      <w:pPr>
        <w:pStyle w:val="NormalWeb"/>
        <w:shd w:val="clear" w:color="auto" w:fill="FFFFFF"/>
        <w:spacing w:before="0" w:beforeAutospacing="0" w:after="0" w:afterAutospacing="0"/>
        <w:jc w:val="both"/>
        <w:rPr>
          <w:color w:val="000000"/>
        </w:rPr>
      </w:pPr>
      <w:r w:rsidRPr="00BE0E8C">
        <w:rPr>
          <w:color w:val="000000"/>
        </w:rPr>
        <w:t>2. As announced in the </w:t>
      </w:r>
      <w:hyperlink r:id="rId132" w:tgtFrame="_blank" w:history="1">
        <w:r w:rsidRPr="00BE0E8C">
          <w:rPr>
            <w:rStyle w:val="Hyperlink"/>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030D73" w:rsidRPr="00BE0E8C" w:rsidRDefault="00030D73" w:rsidP="00030D73">
      <w:pPr>
        <w:pStyle w:val="NormalWeb"/>
        <w:pBdr>
          <w:bottom w:val="single" w:sz="12" w:space="1" w:color="auto"/>
        </w:pBdr>
        <w:shd w:val="clear" w:color="auto" w:fill="FFFFFF"/>
        <w:spacing w:before="0" w:beforeAutospacing="0" w:after="0" w:afterAutospacing="0"/>
        <w:jc w:val="both"/>
        <w:rPr>
          <w:color w:val="000000"/>
        </w:rPr>
      </w:pPr>
    </w:p>
    <w:p w:rsidR="00030D73" w:rsidRPr="00BE0E8C" w:rsidRDefault="00030D73" w:rsidP="00030D73">
      <w:pPr>
        <w:pStyle w:val="NormalWeb"/>
        <w:shd w:val="clear" w:color="auto" w:fill="FFFFFF"/>
        <w:spacing w:before="0" w:beforeAutospacing="0" w:after="0" w:afterAutospacing="0"/>
        <w:jc w:val="both"/>
        <w:rPr>
          <w:b/>
          <w:bCs/>
          <w:color w:val="000000"/>
        </w:rPr>
      </w:pPr>
    </w:p>
    <w:p w:rsidR="00DE4650" w:rsidRPr="00BE0E8C" w:rsidRDefault="00DE4650" w:rsidP="00DE4650">
      <w:pPr>
        <w:pStyle w:val="NormalWeb"/>
        <w:shd w:val="clear" w:color="auto" w:fill="FFFFFF"/>
        <w:spacing w:before="0" w:beforeAutospacing="0" w:after="0" w:afterAutospacing="0"/>
        <w:jc w:val="both"/>
        <w:rPr>
          <w:b/>
          <w:color w:val="000000"/>
        </w:rPr>
      </w:pPr>
      <w:r>
        <w:rPr>
          <w:b/>
          <w:bCs/>
          <w:color w:val="000000"/>
        </w:rPr>
        <w:t>29.</w:t>
      </w:r>
      <w:r w:rsidRPr="00DE4650">
        <w:rPr>
          <w:b/>
          <w:color w:val="000000"/>
        </w:rPr>
        <w:t xml:space="preserve"> </w:t>
      </w:r>
      <w:r w:rsidRPr="00BE0E8C">
        <w:rPr>
          <w:b/>
          <w:color w:val="000000"/>
        </w:rPr>
        <w:t>Maintenance of Cash Reserve Ratio (CRR)</w:t>
      </w:r>
    </w:p>
    <w:p w:rsidR="00DE4650" w:rsidRPr="00BE0E8C" w:rsidRDefault="00DE4650" w:rsidP="00DE4650">
      <w:pPr>
        <w:pStyle w:val="NormalWeb"/>
        <w:shd w:val="clear" w:color="auto" w:fill="FFFFFF"/>
        <w:spacing w:before="0" w:beforeAutospacing="0" w:after="0" w:afterAutospacing="0"/>
        <w:jc w:val="both"/>
        <w:rPr>
          <w:b/>
          <w:color w:val="000000"/>
        </w:rPr>
      </w:pPr>
    </w:p>
    <w:p w:rsidR="00DE4650" w:rsidRPr="00BE0E8C" w:rsidRDefault="00DE4650" w:rsidP="00DE4650">
      <w:pPr>
        <w:pStyle w:val="NormalWeb"/>
        <w:shd w:val="clear" w:color="auto" w:fill="FFFFFF"/>
        <w:spacing w:before="0" w:beforeAutospacing="0" w:after="0" w:afterAutospacing="0"/>
        <w:jc w:val="both"/>
        <w:rPr>
          <w:b/>
          <w:color w:val="000000"/>
        </w:rPr>
      </w:pPr>
      <w:r w:rsidRPr="00BE0E8C">
        <w:rPr>
          <w:b/>
          <w:color w:val="000000"/>
        </w:rPr>
        <w:t>RBI/2020-21/90 DOR.No.Ret.BC.35/12.01.001/2020-21</w:t>
      </w:r>
      <w:r w:rsidRPr="00BE0E8C">
        <w:rPr>
          <w:b/>
          <w:color w:val="000000"/>
        </w:rPr>
        <w:tab/>
      </w:r>
      <w:r w:rsidRPr="00BE0E8C">
        <w:rPr>
          <w:b/>
          <w:color w:val="000000"/>
        </w:rPr>
        <w:tab/>
      </w:r>
      <w:r w:rsidRPr="00BE0E8C">
        <w:rPr>
          <w:b/>
          <w:color w:val="000000"/>
        </w:rPr>
        <w:tab/>
        <w:t>February 5, 2021</w:t>
      </w:r>
    </w:p>
    <w:p w:rsidR="00DE4650" w:rsidRPr="00BE0E8C" w:rsidRDefault="00DE4650" w:rsidP="00DE4650">
      <w:pPr>
        <w:pStyle w:val="NormalWeb"/>
        <w:shd w:val="clear" w:color="auto" w:fill="FFFFFF"/>
        <w:spacing w:before="0" w:beforeAutospacing="0" w:after="0" w:afterAutospacing="0"/>
        <w:jc w:val="both"/>
        <w:rPr>
          <w:b/>
          <w:color w:val="000000"/>
        </w:rPr>
      </w:pPr>
    </w:p>
    <w:p w:rsidR="00DE4650" w:rsidRPr="00BE0E8C" w:rsidRDefault="00DE4650" w:rsidP="00DE4650">
      <w:pPr>
        <w:pStyle w:val="NormalWeb"/>
        <w:shd w:val="clear" w:color="auto" w:fill="FFFFFF"/>
        <w:spacing w:before="0" w:beforeAutospacing="0" w:after="0" w:afterAutospacing="0"/>
        <w:jc w:val="both"/>
        <w:rPr>
          <w:i/>
          <w:color w:val="000000"/>
        </w:rPr>
      </w:pPr>
      <w:r w:rsidRPr="00BE0E8C">
        <w:rPr>
          <w:i/>
          <w:color w:val="000000"/>
        </w:rPr>
        <w:t>All Banks</w:t>
      </w:r>
    </w:p>
    <w:p w:rsidR="00DE4650" w:rsidRPr="00BE0E8C" w:rsidRDefault="00DE4650" w:rsidP="00DE4650">
      <w:pPr>
        <w:pStyle w:val="NormalWeb"/>
        <w:shd w:val="clear" w:color="auto" w:fill="FFFFFF"/>
        <w:spacing w:before="0" w:beforeAutospacing="0" w:after="0" w:afterAutospacing="0"/>
        <w:jc w:val="both"/>
        <w:rPr>
          <w:color w:val="000000"/>
        </w:rPr>
      </w:pPr>
    </w:p>
    <w:p w:rsidR="00DE4650" w:rsidRPr="00BE0E8C" w:rsidRDefault="00DE4650" w:rsidP="00DE4650">
      <w:pPr>
        <w:pStyle w:val="NormalWeb"/>
        <w:shd w:val="clear" w:color="auto" w:fill="FFFFFF"/>
        <w:spacing w:before="0" w:beforeAutospacing="0" w:after="0" w:afterAutospacing="0"/>
        <w:jc w:val="both"/>
        <w:rPr>
          <w:color w:val="000000"/>
        </w:rPr>
      </w:pPr>
      <w:r w:rsidRPr="00BE0E8C">
        <w:rPr>
          <w:color w:val="000000"/>
        </w:rPr>
        <w:t>Please refer to our </w:t>
      </w:r>
      <w:hyperlink r:id="rId133" w:tgtFrame="_blank" w:history="1">
        <w:r w:rsidRPr="00BE0E8C">
          <w:rPr>
            <w:rStyle w:val="Hyperlink"/>
          </w:rPr>
          <w:t>Circular DOR.No.Ret.BC.49/12.01.001/2019-20 dated March 27, 2020</w:t>
        </w:r>
      </w:hyperlink>
      <w:r w:rsidRPr="00BE0E8C">
        <w:rPr>
          <w:color w:val="000000"/>
        </w:rPr>
        <w:t>, on the captioned subject. The cash reserve ratio (CRR) of all banks was reduced by 100 basis points to 3.00 per cent of their Net Demand and Time liabilities (NDTL) effective from the reporting fortnight beginning March 28, 2020. The dispensation was available for a period of one year ending March 26, 2021.</w:t>
      </w:r>
    </w:p>
    <w:p w:rsidR="00DE4650" w:rsidRPr="00BE0E8C" w:rsidRDefault="00DE4650" w:rsidP="00DE4650">
      <w:pPr>
        <w:pStyle w:val="NormalWeb"/>
        <w:shd w:val="clear" w:color="auto" w:fill="FFFFFF"/>
        <w:spacing w:before="0" w:beforeAutospacing="0" w:after="0" w:afterAutospacing="0"/>
        <w:jc w:val="both"/>
        <w:rPr>
          <w:color w:val="000000"/>
        </w:rPr>
      </w:pPr>
    </w:p>
    <w:p w:rsidR="00DE4650" w:rsidRPr="00BE0E8C" w:rsidRDefault="00DE4650" w:rsidP="00DE4650">
      <w:pPr>
        <w:pStyle w:val="NormalWeb"/>
        <w:shd w:val="clear" w:color="auto" w:fill="FFFFFF"/>
        <w:spacing w:before="0" w:beforeAutospacing="0" w:after="0" w:afterAutospacing="0"/>
        <w:jc w:val="both"/>
        <w:rPr>
          <w:color w:val="000000"/>
        </w:rPr>
      </w:pPr>
      <w:r w:rsidRPr="00BE0E8C">
        <w:rPr>
          <w:color w:val="000000"/>
        </w:rPr>
        <w:t>2. As announced in paragraph 2 of the </w:t>
      </w:r>
      <w:hyperlink r:id="rId134" w:tgtFrame="_blank" w:history="1">
        <w:r w:rsidRPr="00BE0E8C">
          <w:rPr>
            <w:rStyle w:val="Hyperlink"/>
          </w:rPr>
          <w:t>Statement on Developmental and Regulatory Policies dated February 05, 2021</w:t>
        </w:r>
      </w:hyperlink>
      <w:r w:rsidRPr="00BE0E8C">
        <w:rPr>
          <w:color w:val="000000"/>
        </w:rPr>
        <w:t>, it has been decided to gradually restore the CRR in two phases in a non-disruptive manner. Accordingly, banks are required to maintain the CRR at 3.50 per cent of their NDTL effective from the reporting fortnight beginning March 27, 2021 and 4.00 per cent of their NDTL effective from fortnight beginning May 22, 2021.</w:t>
      </w:r>
    </w:p>
    <w:p w:rsidR="00DE4650" w:rsidRPr="00BE0E8C" w:rsidRDefault="00DE4650" w:rsidP="00DE4650">
      <w:pPr>
        <w:pStyle w:val="NormalWeb"/>
        <w:pBdr>
          <w:bottom w:val="single" w:sz="12" w:space="1" w:color="auto"/>
        </w:pBdr>
        <w:shd w:val="clear" w:color="auto" w:fill="FFFFFF"/>
        <w:spacing w:before="0" w:beforeAutospacing="0" w:after="0" w:afterAutospacing="0"/>
        <w:jc w:val="both"/>
        <w:rPr>
          <w:b/>
          <w:color w:val="000000"/>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b/>
          <w:color w:val="000000"/>
          <w:sz w:val="24"/>
          <w:szCs w:val="24"/>
          <w:lang w:eastAsia="en-IN"/>
        </w:rPr>
      </w:pPr>
      <w:r>
        <w:rPr>
          <w:b/>
          <w:bCs/>
          <w:color w:val="000000"/>
        </w:rPr>
        <w:t xml:space="preserve">30. </w:t>
      </w: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7A7858" w:rsidRPr="00BE0E8C" w:rsidRDefault="007A7858" w:rsidP="007A7858">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RBI/2020-21/89 DOR.CRG.CRS.Cir.No.5/13.05.000/2020-21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135"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w:t>
      </w:r>
      <w:r w:rsidRPr="00BE0E8C">
        <w:rPr>
          <w:rFonts w:ascii="Times New Roman" w:eastAsia="Times New Roman" w:hAnsi="Times New Roman" w:cs="Times New Roman"/>
          <w:b/>
          <w:bCs/>
          <w:color w:val="000000"/>
          <w:sz w:val="24"/>
          <w:szCs w:val="24"/>
          <w:lang w:eastAsia="en-IN"/>
        </w:rPr>
        <w:lastRenderedPageBreak/>
        <w:t>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7A7858" w:rsidRPr="00BE0E8C" w:rsidRDefault="007A7858" w:rsidP="007A7858">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7A7858" w:rsidRPr="00BE0E8C" w:rsidRDefault="007A7858" w:rsidP="007A7858">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7A7858" w:rsidRPr="00BE0E8C" w:rsidRDefault="007A7858" w:rsidP="007A7858">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7A7858" w:rsidRPr="00BE0E8C" w:rsidRDefault="007A7858" w:rsidP="007A7858">
      <w:pPr>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7A7858" w:rsidRPr="00BE0E8C" w:rsidRDefault="007A7858" w:rsidP="007A7858">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7A7858" w:rsidRPr="00BE0E8C" w:rsidRDefault="007A7858" w:rsidP="007A7858">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7A7858" w:rsidRPr="00BE0E8C" w:rsidRDefault="007A7858" w:rsidP="007A7858">
      <w:pPr>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person shall be deemed to be a relative of another, if and only if:-</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7A7858" w:rsidRPr="00BE0E8C" w:rsidRDefault="007A7858" w:rsidP="007A7858">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c) The one is related to the other (or vice-versa) in the manner indicated below:</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7A7858" w:rsidRPr="00BE0E8C" w:rsidRDefault="007A7858" w:rsidP="007A7858">
      <w:pPr>
        <w:numPr>
          <w:ilvl w:val="0"/>
          <w:numId w:val="22"/>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III. The word “interested” shall mean the director of the UCB or his relative, as the case may be, being a director, managing agent, manager, employee, proprietor, partner, coparcener or guarantor, as the case may be, of the firm / company / concern (including HUF):</w:t>
      </w:r>
    </w:p>
    <w:p w:rsidR="007A7858" w:rsidRPr="00BE0E8C" w:rsidRDefault="007A7858" w:rsidP="007A7858">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7A7858" w:rsidRPr="00BE0E8C" w:rsidRDefault="007A7858" w:rsidP="007A7858">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7A7858" w:rsidRPr="00BE0E8C" w:rsidRDefault="007A7858" w:rsidP="007A7858">
      <w:pPr>
        <w:pStyle w:val="ListParagraph"/>
        <w:numPr>
          <w:ilvl w:val="0"/>
          <w:numId w:val="2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shareholders agreements or voting agreements or in another manner.</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136"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These directions supersede the earlier directives / instructions issued on the subject and shall come into force immediately. The existing director-related loans sanctioned/granted by UCBs in terms of the earlier directives / instructions prior to the issue of this circular, if any, may continue till their respective maturity and shall not be renewed further.</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7A7858" w:rsidRPr="00BE0E8C" w:rsidRDefault="007A7858" w:rsidP="007A7858">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7A7858" w:rsidRDefault="003327B0" w:rsidP="007A7858">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137" w:history="1">
        <w:r w:rsidR="007A7858"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B55063" w:rsidRPr="00BE0E8C" w:rsidRDefault="00B55063" w:rsidP="00B55063">
      <w:pPr>
        <w:pStyle w:val="NormalWeb"/>
        <w:shd w:val="clear" w:color="auto" w:fill="FFFFFF"/>
        <w:spacing w:before="0" w:beforeAutospacing="0" w:after="0" w:afterAutospacing="0"/>
        <w:jc w:val="both"/>
        <w:rPr>
          <w:b/>
          <w:color w:val="000000"/>
        </w:rPr>
      </w:pPr>
      <w:r>
        <w:rPr>
          <w:b/>
          <w:bCs/>
          <w:color w:val="000000"/>
        </w:rPr>
        <w:t xml:space="preserve">31. </w:t>
      </w:r>
      <w:r w:rsidRPr="00BE0E8C">
        <w:rPr>
          <w:b/>
          <w:color w:val="000000"/>
        </w:rPr>
        <w:t>Strengthening of Grievance Redress Mechanism in Banks</w:t>
      </w:r>
    </w:p>
    <w:p w:rsidR="00B55063" w:rsidRPr="00BE0E8C" w:rsidRDefault="00B55063" w:rsidP="00B55063">
      <w:pPr>
        <w:pStyle w:val="NormalWeb"/>
        <w:shd w:val="clear" w:color="auto" w:fill="FFFFFF"/>
        <w:spacing w:before="0" w:beforeAutospacing="0" w:after="0" w:afterAutospacing="0"/>
        <w:jc w:val="both"/>
        <w:rPr>
          <w:b/>
          <w:color w:val="000000"/>
        </w:rPr>
      </w:pPr>
    </w:p>
    <w:p w:rsidR="00B55063" w:rsidRPr="00BE0E8C" w:rsidRDefault="00B55063" w:rsidP="00B55063">
      <w:pPr>
        <w:pStyle w:val="NormalWeb"/>
        <w:shd w:val="clear" w:color="auto" w:fill="FFFFFF"/>
        <w:spacing w:before="0" w:beforeAutospacing="0" w:after="0" w:afterAutospacing="0"/>
        <w:jc w:val="both"/>
        <w:rPr>
          <w:b/>
          <w:color w:val="000000"/>
        </w:rPr>
      </w:pPr>
      <w:r w:rsidRPr="00BE0E8C">
        <w:rPr>
          <w:b/>
          <w:color w:val="000000"/>
        </w:rPr>
        <w:lastRenderedPageBreak/>
        <w:t>RBI/2020-21/87 CEPD.CO.PRD.Cir.No.01/13.01.013/2020-21</w:t>
      </w:r>
      <w:r w:rsidRPr="00BE0E8C">
        <w:rPr>
          <w:b/>
          <w:color w:val="000000"/>
        </w:rPr>
        <w:tab/>
      </w:r>
      <w:r w:rsidRPr="00BE0E8C">
        <w:rPr>
          <w:b/>
          <w:color w:val="000000"/>
        </w:rPr>
        <w:tab/>
        <w:t>January 27, 2021</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color w:val="000000"/>
        </w:rPr>
      </w:pPr>
      <w:r w:rsidRPr="00BE0E8C">
        <w:rPr>
          <w:color w:val="000000"/>
        </w:rPr>
        <w:t>Please refer to the ‘</w:t>
      </w:r>
      <w:hyperlink r:id="rId138" w:tgtFrame="_blank" w:history="1">
        <w:r w:rsidRPr="00BE0E8C">
          <w:rPr>
            <w:rStyle w:val="Hyperlink"/>
          </w:rPr>
          <w:t>Statement on Developmental and Regulatory Policies</w:t>
        </w:r>
      </w:hyperlink>
      <w:r w:rsidRPr="00BE0E8C">
        <w:rPr>
          <w:color w:val="000000"/>
        </w:rPr>
        <w:t>’ issued as part of the </w:t>
      </w:r>
      <w:hyperlink r:id="rId139"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shd w:val="clear" w:color="auto" w:fill="FFFFFF"/>
        <w:spacing w:before="0" w:beforeAutospacing="0" w:after="0" w:afterAutospacing="0"/>
        <w:jc w:val="both"/>
        <w:rPr>
          <w:color w:val="000000"/>
        </w:rPr>
      </w:pPr>
      <w:r w:rsidRPr="00BE0E8C">
        <w:rPr>
          <w:color w:val="000000"/>
        </w:rPr>
        <w:t>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group average, and undertaking intensive review of the grievance redress mechanism and supervisory action against banks that fail to improve their redress mechanism in a time bound manner. Details of the framework are provided in the </w:t>
      </w:r>
      <w:hyperlink r:id="rId140" w:anchor="AN1" w:history="1">
        <w:r w:rsidRPr="00BE0E8C">
          <w:rPr>
            <w:rStyle w:val="Hyperlink"/>
          </w:rPr>
          <w:t>Annex</w:t>
        </w:r>
      </w:hyperlink>
      <w:r w:rsidRPr="00BE0E8C">
        <w:rPr>
          <w:color w:val="000000"/>
        </w:rPr>
        <w:t>.</w:t>
      </w:r>
    </w:p>
    <w:p w:rsidR="00B55063" w:rsidRPr="00BE0E8C" w:rsidRDefault="00B55063" w:rsidP="00B55063">
      <w:pPr>
        <w:pStyle w:val="NormalWeb"/>
        <w:shd w:val="clear" w:color="auto" w:fill="FFFFFF"/>
        <w:spacing w:before="0" w:beforeAutospacing="0" w:after="0" w:afterAutospacing="0"/>
        <w:jc w:val="both"/>
        <w:rPr>
          <w:color w:val="000000"/>
        </w:rPr>
      </w:pPr>
    </w:p>
    <w:p w:rsidR="00B55063" w:rsidRPr="00BE0E8C" w:rsidRDefault="00B55063" w:rsidP="00B55063">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B55063" w:rsidRPr="00BE0E8C" w:rsidRDefault="00B55063" w:rsidP="00B55063">
      <w:pPr>
        <w:pStyle w:val="NormalWeb"/>
        <w:pBdr>
          <w:bottom w:val="single" w:sz="12" w:space="1" w:color="auto"/>
        </w:pBdr>
        <w:shd w:val="clear" w:color="auto" w:fill="FFFFFF"/>
        <w:spacing w:before="0" w:beforeAutospacing="0" w:after="0" w:afterAutospacing="0"/>
        <w:jc w:val="both"/>
        <w:rPr>
          <w:color w:val="000000"/>
        </w:rPr>
      </w:pPr>
    </w:p>
    <w:p w:rsidR="00B55063" w:rsidRPr="00BE0E8C" w:rsidRDefault="003327B0" w:rsidP="00B55063">
      <w:pPr>
        <w:pStyle w:val="NormalWeb"/>
        <w:pBdr>
          <w:bottom w:val="single" w:sz="12" w:space="1" w:color="auto"/>
        </w:pBdr>
        <w:shd w:val="clear" w:color="auto" w:fill="FFFFFF"/>
        <w:spacing w:before="0" w:beforeAutospacing="0" w:after="0" w:afterAutospacing="0"/>
        <w:jc w:val="both"/>
        <w:rPr>
          <w:color w:val="000000"/>
        </w:rPr>
      </w:pPr>
      <w:hyperlink r:id="rId141" w:history="1">
        <w:r w:rsidR="00B55063" w:rsidRPr="00BE0E8C">
          <w:rPr>
            <w:rStyle w:val="Hyperlink"/>
          </w:rPr>
          <w:t>https://www.rbi.org.in/Scripts/NotificationUser.aspx?Id=12017&amp;Mode=0</w:t>
        </w:r>
      </w:hyperlink>
      <w:r w:rsidR="00B55063" w:rsidRPr="00BE0E8C">
        <w:rPr>
          <w:color w:val="000000"/>
        </w:rPr>
        <w:t xml:space="preserve"> </w:t>
      </w:r>
    </w:p>
    <w:p w:rsidR="00B55063" w:rsidRPr="00BE0E8C" w:rsidRDefault="00B55063" w:rsidP="00B55063">
      <w:pPr>
        <w:pStyle w:val="NormalWeb"/>
        <w:shd w:val="clear" w:color="auto" w:fill="FFFFFF"/>
        <w:spacing w:before="0" w:beforeAutospacing="0" w:after="0" w:afterAutospacing="0"/>
        <w:jc w:val="both"/>
        <w:rPr>
          <w:b/>
          <w:color w:val="000000"/>
        </w:rPr>
      </w:pPr>
    </w:p>
    <w:p w:rsidR="00066966" w:rsidRDefault="00066966" w:rsidP="00066966">
      <w:pPr>
        <w:spacing w:after="0" w:line="240" w:lineRule="auto"/>
        <w:jc w:val="both"/>
        <w:rPr>
          <w:rFonts w:ascii="Times New Roman" w:hAnsi="Times New Roman" w:cs="Times New Roman"/>
          <w:b/>
          <w:bCs/>
          <w:color w:val="000000"/>
          <w:sz w:val="24"/>
          <w:szCs w:val="24"/>
        </w:rPr>
      </w:pPr>
      <w:r>
        <w:rPr>
          <w:b/>
          <w:bCs/>
          <w:color w:val="000000"/>
        </w:rPr>
        <w:t>32.</w:t>
      </w:r>
      <w:r w:rsidRPr="00066966">
        <w:rPr>
          <w:rFonts w:ascii="Times New Roman" w:hAnsi="Times New Roman" w:cs="Times New Roman"/>
          <w:b/>
          <w:bCs/>
          <w:color w:val="000000"/>
          <w:sz w:val="24"/>
          <w:szCs w:val="24"/>
        </w:rPr>
        <w:t xml:space="preserve"> </w:t>
      </w: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066966" w:rsidRDefault="00066966" w:rsidP="00066966">
      <w:pPr>
        <w:spacing w:after="0" w:line="240" w:lineRule="auto"/>
        <w:jc w:val="both"/>
        <w:rPr>
          <w:rFonts w:ascii="Times New Roman" w:hAnsi="Times New Roman" w:cs="Times New Roman"/>
          <w:b/>
          <w:bCs/>
          <w:color w:val="000000"/>
          <w:sz w:val="24"/>
          <w:szCs w:val="24"/>
        </w:rPr>
      </w:pPr>
    </w:p>
    <w:p w:rsidR="00066966" w:rsidRPr="00C203D8" w:rsidRDefault="00066966" w:rsidP="00066966">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lastRenderedPageBreak/>
        <w:t>The Reserve Bank today released the </w:t>
      </w:r>
      <w:hyperlink r:id="rId142"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066966" w:rsidRPr="00C203D8" w:rsidRDefault="00066966" w:rsidP="00066966">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066966" w:rsidRPr="00C203D8" w:rsidRDefault="00066966" w:rsidP="00066966">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066966" w:rsidRDefault="00066966" w:rsidP="00066966">
      <w:pPr>
        <w:spacing w:after="0" w:line="240" w:lineRule="auto"/>
        <w:jc w:val="both"/>
        <w:rPr>
          <w:rFonts w:ascii="Times New Roman" w:hAnsi="Times New Roman" w:cs="Times New Roman"/>
          <w:color w:val="000000"/>
          <w:sz w:val="24"/>
          <w:szCs w:val="24"/>
        </w:rPr>
      </w:pPr>
    </w:p>
    <w:p w:rsidR="00066966" w:rsidRDefault="003327B0" w:rsidP="00066966">
      <w:pPr>
        <w:pBdr>
          <w:bottom w:val="single" w:sz="12" w:space="1" w:color="auto"/>
        </w:pBdr>
        <w:spacing w:after="0" w:line="240" w:lineRule="auto"/>
        <w:jc w:val="both"/>
        <w:rPr>
          <w:rFonts w:ascii="Times New Roman" w:hAnsi="Times New Roman" w:cs="Times New Roman"/>
          <w:color w:val="000000"/>
          <w:sz w:val="24"/>
          <w:szCs w:val="24"/>
        </w:rPr>
      </w:pPr>
      <w:hyperlink r:id="rId143" w:history="1">
        <w:r w:rsidR="00066966" w:rsidRPr="003A2F80">
          <w:rPr>
            <w:rStyle w:val="Hyperlink"/>
            <w:rFonts w:ascii="Times New Roman" w:hAnsi="Times New Roman" w:cs="Times New Roman"/>
            <w:sz w:val="24"/>
            <w:szCs w:val="24"/>
          </w:rPr>
          <w:t>https://rbidocs.rbi.org.in/rdocs/Publications/PDFs/PSSBOOKLET93D3AEFDEAF14044BC1BB36662C41A8C.PDF</w:t>
        </w:r>
      </w:hyperlink>
    </w:p>
    <w:p w:rsidR="00066966" w:rsidRDefault="00066966" w:rsidP="00066966">
      <w:pPr>
        <w:spacing w:after="0" w:line="240" w:lineRule="auto"/>
        <w:jc w:val="both"/>
        <w:rPr>
          <w:rFonts w:ascii="Times New Roman" w:hAnsi="Times New Roman" w:cs="Times New Roman"/>
          <w:b/>
          <w:color w:val="000000"/>
          <w:sz w:val="24"/>
          <w:szCs w:val="24"/>
        </w:rPr>
      </w:pPr>
    </w:p>
    <w:p w:rsidR="00C56537" w:rsidRDefault="00C56537" w:rsidP="00C56537">
      <w:pPr>
        <w:spacing w:after="0" w:line="240" w:lineRule="auto"/>
        <w:jc w:val="both"/>
        <w:rPr>
          <w:rFonts w:ascii="Times New Roman" w:hAnsi="Times New Roman" w:cs="Times New Roman"/>
          <w:b/>
          <w:color w:val="000000"/>
          <w:sz w:val="24"/>
          <w:szCs w:val="24"/>
          <w:u w:val="single"/>
        </w:rPr>
      </w:pPr>
      <w:r>
        <w:rPr>
          <w:b/>
          <w:bCs/>
          <w:color w:val="000000"/>
        </w:rPr>
        <w:t>33.</w:t>
      </w:r>
      <w:r w:rsidRPr="00C56537">
        <w:rPr>
          <w:rFonts w:ascii="Times New Roman" w:hAnsi="Times New Roman" w:cs="Times New Roman"/>
          <w:b/>
          <w:color w:val="000000"/>
          <w:sz w:val="24"/>
          <w:szCs w:val="24"/>
          <w:u w:val="single"/>
        </w:rPr>
        <w:t xml:space="preserve"> </w:t>
      </w:r>
      <w:r w:rsidRPr="005D3900">
        <w:rPr>
          <w:rFonts w:ascii="Times New Roman" w:hAnsi="Times New Roman" w:cs="Times New Roman"/>
          <w:b/>
          <w:color w:val="000000"/>
          <w:sz w:val="24"/>
          <w:szCs w:val="24"/>
          <w:u w:val="single"/>
        </w:rPr>
        <w:t xml:space="preserve">FATF </w:t>
      </w:r>
    </w:p>
    <w:p w:rsidR="00C56537" w:rsidRDefault="00C56537" w:rsidP="00C56537">
      <w:pPr>
        <w:spacing w:after="0" w:line="240" w:lineRule="auto"/>
        <w:jc w:val="both"/>
        <w:rPr>
          <w:rFonts w:ascii="Times New Roman" w:hAnsi="Times New Roman" w:cs="Times New Roman"/>
          <w:b/>
          <w:color w:val="000000"/>
          <w:sz w:val="24"/>
          <w:szCs w:val="24"/>
          <w:u w:val="single"/>
        </w:rPr>
      </w:pPr>
    </w:p>
    <w:p w:rsidR="00C56537" w:rsidRDefault="00C56537" w:rsidP="00C56537">
      <w:pPr>
        <w:spacing w:after="0" w:line="240" w:lineRule="auto"/>
        <w:jc w:val="both"/>
        <w:rPr>
          <w:rFonts w:ascii="Times New Roman" w:eastAsia="Times New Roman" w:hAnsi="Times New Roman" w:cs="Times New Roman"/>
          <w:b/>
          <w:color w:val="000000"/>
          <w:sz w:val="24"/>
          <w:szCs w:val="24"/>
          <w:lang w:eastAsia="en-IN"/>
        </w:rPr>
      </w:pPr>
      <w:r w:rsidRPr="005D3900">
        <w:rPr>
          <w:rFonts w:ascii="Times New Roman" w:eastAsia="Times New Roman" w:hAnsi="Times New Roman" w:cs="Times New Roman"/>
          <w:b/>
          <w:color w:val="000000"/>
          <w:sz w:val="24"/>
          <w:szCs w:val="24"/>
          <w:lang w:eastAsia="en-IN"/>
        </w:rPr>
        <w:t>High-risk and other monitored jurisdictions: Jurisdictions under Increased Monitoring - June 2021</w:t>
      </w:r>
    </w:p>
    <w:p w:rsidR="00C56537" w:rsidRPr="005D3900" w:rsidRDefault="00C56537" w:rsidP="00C56537">
      <w:pPr>
        <w:spacing w:after="0" w:line="240" w:lineRule="auto"/>
        <w:jc w:val="both"/>
        <w:rPr>
          <w:rFonts w:ascii="Times New Roman" w:hAnsi="Times New Roman" w:cs="Times New Roman"/>
          <w:b/>
          <w:color w:val="000000"/>
          <w:sz w:val="24"/>
          <w:szCs w:val="24"/>
          <w:u w:val="single"/>
        </w:rPr>
      </w:pPr>
    </w:p>
    <w:p w:rsidR="00C56537" w:rsidRPr="005D3900" w:rsidRDefault="00C56537" w:rsidP="00C56537">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Jurisdictions under increased monitoring are actively working with the FATF to address strategic deficiencies in their regimes to counter money laundering, terrorist financing, and proliferation financing. When the FATF places a jurisdiction under increased monitoring, it means the country has committed to resolve swiftly the identified strategic deficiencies within agreed timeframes and is subject to increased monitoring. This list is often externally referred to as the “grey list”.</w:t>
      </w:r>
    </w:p>
    <w:p w:rsidR="00C56537" w:rsidRPr="005D3900" w:rsidRDefault="00C56537" w:rsidP="00C56537">
      <w:pPr>
        <w:spacing w:after="0" w:line="240" w:lineRule="auto"/>
        <w:jc w:val="both"/>
        <w:rPr>
          <w:rFonts w:ascii="Times New Roman" w:hAnsi="Times New Roman" w:cs="Times New Roman"/>
          <w:color w:val="000000"/>
          <w:sz w:val="24"/>
          <w:szCs w:val="24"/>
        </w:rPr>
      </w:pPr>
    </w:p>
    <w:p w:rsidR="00C56537" w:rsidRPr="005D3900" w:rsidRDefault="00C56537" w:rsidP="00C56537">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and FATF-style regional bodies (FSRBs) continue to work with the jurisdictions below as they report on the progress achieved in addressing their strategic deficiencies. The FATF calls on these jurisdictions to complete their action plans expeditiously and within the agreed timeframes. The FATF welcomes their commitment and will closely monitor their progress. The FATF does not call for the application of enhanced due diligence measures to be applied to these jurisdictions, but encourages its members and all jurisdictions to take into account the information presented below in their risk analysis.</w:t>
      </w:r>
    </w:p>
    <w:p w:rsidR="00C56537" w:rsidRPr="005D3900" w:rsidRDefault="00C56537" w:rsidP="00C56537">
      <w:pPr>
        <w:spacing w:after="0" w:line="240" w:lineRule="auto"/>
        <w:jc w:val="both"/>
        <w:rPr>
          <w:rFonts w:ascii="Times New Roman" w:hAnsi="Times New Roman" w:cs="Times New Roman"/>
          <w:color w:val="000000"/>
          <w:sz w:val="24"/>
          <w:szCs w:val="24"/>
        </w:rPr>
      </w:pPr>
    </w:p>
    <w:p w:rsidR="00C56537" w:rsidRDefault="00C56537" w:rsidP="00C56537">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The FATF identifies additional jurisdictions, on an on-going basis, that have strategic deficiencies in their regimes to counter money laundering, terrorist financing, and proliferation financing. A number of jurisdictions have not yet been reviewed by the FATF or their FSRBs, but will be in due course.</w:t>
      </w:r>
    </w:p>
    <w:p w:rsidR="00C56537" w:rsidRDefault="00C56537" w:rsidP="00C56537">
      <w:pPr>
        <w:spacing w:after="0" w:line="240" w:lineRule="auto"/>
        <w:jc w:val="both"/>
        <w:rPr>
          <w:rFonts w:ascii="Times New Roman" w:hAnsi="Times New Roman" w:cs="Times New Roman"/>
          <w:color w:val="000000"/>
          <w:sz w:val="24"/>
          <w:szCs w:val="24"/>
        </w:rPr>
      </w:pPr>
    </w:p>
    <w:p w:rsidR="00C56537" w:rsidRDefault="00C56537" w:rsidP="00C5653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detailed guidelines: </w:t>
      </w:r>
      <w:hyperlink r:id="rId144" w:history="1">
        <w:r w:rsidRPr="003A2F80">
          <w:rPr>
            <w:rStyle w:val="Hyperlink"/>
            <w:rFonts w:ascii="Times New Roman" w:hAnsi="Times New Roman" w:cs="Times New Roman"/>
            <w:sz w:val="24"/>
            <w:szCs w:val="24"/>
          </w:rPr>
          <w:t>http://www.fatf-gafi.org/publications/high-risk-and-other-monitored-jurisdictions/documents/increased-monitoring-june-2021.html</w:t>
        </w:r>
      </w:hyperlink>
    </w:p>
    <w:p w:rsidR="00C56537" w:rsidRDefault="00C56537" w:rsidP="00C56537">
      <w:pPr>
        <w:pBdr>
          <w:bottom w:val="single" w:sz="12" w:space="1" w:color="auto"/>
        </w:pBdr>
        <w:spacing w:after="0" w:line="240" w:lineRule="auto"/>
        <w:jc w:val="both"/>
        <w:rPr>
          <w:rFonts w:ascii="Times New Roman" w:hAnsi="Times New Roman" w:cs="Times New Roman"/>
          <w:color w:val="000000"/>
          <w:sz w:val="24"/>
          <w:szCs w:val="24"/>
        </w:rPr>
      </w:pPr>
    </w:p>
    <w:p w:rsidR="002B2A6D" w:rsidRDefault="002B2A6D" w:rsidP="002B2A6D">
      <w:pPr>
        <w:spacing w:after="0" w:line="240" w:lineRule="auto"/>
        <w:jc w:val="both"/>
        <w:rPr>
          <w:rFonts w:ascii="Times New Roman" w:hAnsi="Times New Roman" w:cs="Times New Roman"/>
          <w:b/>
          <w:color w:val="000000"/>
          <w:sz w:val="24"/>
          <w:szCs w:val="24"/>
        </w:rPr>
      </w:pPr>
      <w:r>
        <w:rPr>
          <w:b/>
          <w:bCs/>
          <w:color w:val="000000"/>
        </w:rPr>
        <w:t xml:space="preserve">34. </w:t>
      </w:r>
      <w:r w:rsidRPr="005D3900">
        <w:rPr>
          <w:rFonts w:ascii="Times New Roman" w:hAnsi="Times New Roman" w:cs="Times New Roman"/>
          <w:b/>
          <w:color w:val="000000"/>
          <w:sz w:val="24"/>
          <w:szCs w:val="24"/>
        </w:rPr>
        <w:t>High-Risk Jurisdictions subject to a Call for Action - June 2021</w:t>
      </w:r>
    </w:p>
    <w:p w:rsidR="002B2A6D" w:rsidRDefault="002B2A6D" w:rsidP="002B2A6D">
      <w:pPr>
        <w:spacing w:after="0" w:line="240" w:lineRule="auto"/>
        <w:jc w:val="both"/>
        <w:rPr>
          <w:rFonts w:ascii="Times New Roman" w:hAnsi="Times New Roman" w:cs="Times New Roman"/>
          <w:b/>
          <w:color w:val="000000"/>
          <w:sz w:val="24"/>
          <w:szCs w:val="24"/>
        </w:rPr>
      </w:pPr>
    </w:p>
    <w:p w:rsidR="002B2A6D" w:rsidRDefault="002B2A6D" w:rsidP="002B2A6D">
      <w:pPr>
        <w:spacing w:after="0" w:line="240" w:lineRule="auto"/>
        <w:jc w:val="both"/>
        <w:rPr>
          <w:rFonts w:ascii="Times New Roman" w:hAnsi="Times New Roman" w:cs="Times New Roman"/>
          <w:color w:val="000000"/>
          <w:sz w:val="24"/>
          <w:szCs w:val="24"/>
        </w:rPr>
      </w:pPr>
      <w:r w:rsidRPr="005D3900">
        <w:rPr>
          <w:rFonts w:ascii="Times New Roman" w:hAnsi="Times New Roman" w:cs="Times New Roman"/>
          <w:color w:val="000000"/>
          <w:sz w:val="24"/>
          <w:szCs w:val="24"/>
        </w:rPr>
        <w:t xml:space="preserve">High-risk jurisdictions have significant strategic deficiencies in their regimes to counter money laundering, terrorist financing, and financing of proliferation. For all countries identified as high-risk, the FATF calls on all members and urges all jurisdictions to apply enhanced due diligence, </w:t>
      </w:r>
      <w:r w:rsidRPr="005D3900">
        <w:rPr>
          <w:rFonts w:ascii="Times New Roman" w:hAnsi="Times New Roman" w:cs="Times New Roman"/>
          <w:color w:val="000000"/>
          <w:sz w:val="24"/>
          <w:szCs w:val="24"/>
        </w:rPr>
        <w:lastRenderedPageBreak/>
        <w:t>and, in the most serious cases, countries are called upon to apply counter-measures to protect the international financial sys</w:t>
      </w:r>
      <w:r>
        <w:rPr>
          <w:rFonts w:ascii="Times New Roman" w:hAnsi="Times New Roman" w:cs="Times New Roman"/>
          <w:color w:val="000000"/>
          <w:sz w:val="24"/>
          <w:szCs w:val="24"/>
        </w:rPr>
        <w:t xml:space="preserve">tem from the money laundering, </w:t>
      </w:r>
      <w:r w:rsidRPr="005D3900">
        <w:rPr>
          <w:rFonts w:ascii="Times New Roman" w:hAnsi="Times New Roman" w:cs="Times New Roman"/>
          <w:color w:val="000000"/>
          <w:sz w:val="24"/>
          <w:szCs w:val="24"/>
        </w:rPr>
        <w:t>terrorist financing, and proliferation financing (ML/TF/PF) risks emanating from the country. This list is often externally referred to as the “black list”. Since February 2020, in light of the COVID-19 pandemic, the FATF has paused the review process for countries in the list of High-Risk Jurisdictions subject to a Call for Action, given that they are already subject to the FATF’s call for countermeasures. Therefore, please refer to the statement on these jurisdictions adopted in February 2020. While the statement may not necessarily reflect the most recent status of Iran and the Democratic People’s Republic of Korea’s AML/CFT regimes, the FATF’s call for action on these high-risk jurisdictions remains in effect.</w:t>
      </w:r>
    </w:p>
    <w:p w:rsidR="002B2A6D" w:rsidRDefault="002B2A6D" w:rsidP="002B2A6D">
      <w:pPr>
        <w:spacing w:after="0" w:line="240" w:lineRule="auto"/>
        <w:jc w:val="both"/>
        <w:rPr>
          <w:rFonts w:ascii="Times New Roman" w:hAnsi="Times New Roman" w:cs="Times New Roman"/>
          <w:color w:val="000000"/>
          <w:sz w:val="24"/>
          <w:szCs w:val="24"/>
        </w:rPr>
      </w:pPr>
    </w:p>
    <w:p w:rsidR="002B2A6D" w:rsidRDefault="003327B0" w:rsidP="002B2A6D">
      <w:pPr>
        <w:pBdr>
          <w:bottom w:val="single" w:sz="12" w:space="1" w:color="auto"/>
        </w:pBdr>
        <w:spacing w:after="0" w:line="240" w:lineRule="auto"/>
        <w:jc w:val="both"/>
        <w:rPr>
          <w:rFonts w:ascii="Times New Roman" w:hAnsi="Times New Roman" w:cs="Times New Roman"/>
          <w:color w:val="000000"/>
          <w:sz w:val="24"/>
          <w:szCs w:val="24"/>
        </w:rPr>
      </w:pPr>
      <w:hyperlink r:id="rId145" w:history="1">
        <w:r w:rsidR="002B2A6D" w:rsidRPr="003A2F80">
          <w:rPr>
            <w:rStyle w:val="Hyperlink"/>
            <w:rFonts w:ascii="Times New Roman" w:hAnsi="Times New Roman" w:cs="Times New Roman"/>
            <w:sz w:val="24"/>
            <w:szCs w:val="24"/>
          </w:rPr>
          <w:t>http://www.fatf-gafi.org/publications/high-risk-and-other-monitored-jurisdictions/documents/call-for-action-june-2021.html</w:t>
        </w:r>
      </w:hyperlink>
      <w:r w:rsidR="002B2A6D">
        <w:rPr>
          <w:rFonts w:ascii="Times New Roman" w:hAnsi="Times New Roman" w:cs="Times New Roman"/>
          <w:color w:val="000000"/>
          <w:sz w:val="24"/>
          <w:szCs w:val="24"/>
        </w:rPr>
        <w:t xml:space="preserve"> </w:t>
      </w:r>
    </w:p>
    <w:p w:rsidR="002B2A6D" w:rsidRDefault="002B2A6D" w:rsidP="002B2A6D">
      <w:pPr>
        <w:pBdr>
          <w:bottom w:val="single" w:sz="12" w:space="1" w:color="auto"/>
        </w:pBdr>
        <w:spacing w:after="0" w:line="240" w:lineRule="auto"/>
        <w:jc w:val="both"/>
        <w:rPr>
          <w:rFonts w:ascii="Times New Roman" w:hAnsi="Times New Roman" w:cs="Times New Roman"/>
          <w:color w:val="000000"/>
          <w:sz w:val="24"/>
          <w:szCs w:val="24"/>
        </w:rPr>
      </w:pPr>
    </w:p>
    <w:p w:rsidR="003E1087" w:rsidRDefault="0003423E" w:rsidP="00BF2475">
      <w:pPr>
        <w:pStyle w:val="head"/>
        <w:shd w:val="clear" w:color="auto" w:fill="FFFFFF"/>
        <w:spacing w:before="0" w:beforeAutospacing="0" w:after="0" w:afterAutospacing="0"/>
        <w:jc w:val="both"/>
        <w:rPr>
          <w:rFonts w:ascii="Calibri" w:hAnsi="Calibri" w:cs="Calibri"/>
          <w:b/>
          <w:color w:val="000000"/>
        </w:rPr>
      </w:pPr>
      <w:r w:rsidRPr="0003423E">
        <w:rPr>
          <w:rFonts w:ascii="Calibri" w:hAnsi="Calibri" w:cs="Calibri"/>
          <w:b/>
          <w:color w:val="000000"/>
        </w:rPr>
        <w:t>35. Finance Minister’s Press Conference on 28th June, 2021 - Economic Relief from Pandemic</w:t>
      </w:r>
    </w:p>
    <w:p w:rsidR="0003423E" w:rsidRDefault="0003423E" w:rsidP="00BF2475">
      <w:pPr>
        <w:pStyle w:val="head"/>
        <w:shd w:val="clear" w:color="auto" w:fill="FFFFFF"/>
        <w:spacing w:before="0" w:beforeAutospacing="0" w:after="0" w:afterAutospacing="0"/>
        <w:jc w:val="both"/>
        <w:rPr>
          <w:rFonts w:ascii="Calibri" w:hAnsi="Calibri" w:cs="Calibri"/>
          <w:b/>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sidRPr="00E73A66">
        <w:rPr>
          <w:b/>
          <w:color w:val="000000"/>
        </w:rPr>
        <w:t>Finance Minister’s Press Conference</w:t>
      </w:r>
      <w:r>
        <w:rPr>
          <w:b/>
          <w:color w:val="000000"/>
        </w:rPr>
        <w:t xml:space="preserve"> </w:t>
      </w:r>
      <w:r>
        <w:rPr>
          <w:b/>
          <w:color w:val="000000"/>
        </w:rPr>
        <w:tab/>
      </w:r>
      <w:r>
        <w:rPr>
          <w:b/>
          <w:color w:val="000000"/>
        </w:rPr>
        <w:tab/>
      </w:r>
      <w:r>
        <w:rPr>
          <w:b/>
          <w:color w:val="000000"/>
        </w:rPr>
        <w:tab/>
      </w:r>
      <w:r>
        <w:rPr>
          <w:b/>
          <w:color w:val="000000"/>
        </w:rPr>
        <w:tab/>
      </w:r>
      <w:r w:rsidRPr="00E73A66">
        <w:rPr>
          <w:b/>
          <w:color w:val="000000"/>
        </w:rPr>
        <w:t xml:space="preserve">28th June, 2021 </w:t>
      </w:r>
    </w:p>
    <w:p w:rsidR="003327B0" w:rsidRDefault="003327B0" w:rsidP="003327B0">
      <w:pPr>
        <w:pStyle w:val="NormalWeb"/>
        <w:shd w:val="clear" w:color="auto" w:fill="FFFFFF"/>
        <w:spacing w:before="0" w:beforeAutospacing="0" w:after="0" w:afterAutospacing="0"/>
        <w:jc w:val="both"/>
        <w:rPr>
          <w:b/>
          <w:color w:val="000000"/>
        </w:rPr>
      </w:pPr>
    </w:p>
    <w:p w:rsidR="003327B0" w:rsidRPr="00804175" w:rsidRDefault="003327B0" w:rsidP="003327B0">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I. Rs. </w:t>
      </w:r>
      <w:r w:rsidRPr="00E73A66">
        <w:rPr>
          <w:b/>
          <w:color w:val="000000"/>
        </w:rPr>
        <w:t xml:space="preserve">1.1 Lakh Cr Loan Guarantee Scheme for COVID Affected Sectors </w:t>
      </w:r>
    </w:p>
    <w:p w:rsidR="003327B0" w:rsidRPr="00E73A66" w:rsidRDefault="003327B0" w:rsidP="003327B0">
      <w:pPr>
        <w:pStyle w:val="NormalWeb"/>
        <w:shd w:val="clear" w:color="auto" w:fill="FFFFFF"/>
        <w:spacing w:before="0" w:beforeAutospacing="0" w:after="0" w:afterAutospacing="0"/>
        <w:jc w:val="both"/>
        <w:rPr>
          <w:b/>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sidRPr="00E73A66">
        <w:rPr>
          <w:b/>
          <w:color w:val="000000"/>
        </w:rPr>
        <w:t>Health Sector: Rs. 50,000 crore</w:t>
      </w:r>
    </w:p>
    <w:p w:rsidR="003327B0" w:rsidRPr="00E73A66" w:rsidRDefault="003327B0" w:rsidP="003327B0">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Maximum loan: Rs. 100 crore; Guarantee duration: Up to 3 years</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Interest rate capped at 7.95% </w:t>
      </w:r>
    </w:p>
    <w:p w:rsidR="003327B0" w:rsidRPr="00E73A66" w:rsidRDefault="003327B0" w:rsidP="003327B0">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3327B0" w:rsidRPr="00E73A66" w:rsidRDefault="003327B0" w:rsidP="003327B0">
      <w:pPr>
        <w:pStyle w:val="NormalWeb"/>
        <w:shd w:val="clear" w:color="auto" w:fill="FFFFFF"/>
        <w:spacing w:before="0" w:beforeAutospacing="0" w:after="0" w:afterAutospacing="0"/>
        <w:jc w:val="both"/>
        <w:rPr>
          <w:b/>
          <w:color w:val="000000"/>
        </w:rPr>
      </w:pPr>
      <w:r w:rsidRPr="00E73A66">
        <w:rPr>
          <w:b/>
          <w:color w:val="000000"/>
        </w:rPr>
        <w:t>Other Sectors: Rs. 60,000 crore</w:t>
      </w:r>
    </w:p>
    <w:p w:rsidR="003327B0" w:rsidRPr="00E73A66" w:rsidRDefault="003327B0" w:rsidP="003327B0">
      <w:pPr>
        <w:pStyle w:val="NormalWeb"/>
        <w:numPr>
          <w:ilvl w:val="0"/>
          <w:numId w:val="27"/>
        </w:numPr>
        <w:shd w:val="clear" w:color="auto" w:fill="FFFFFF"/>
        <w:spacing w:before="0" w:beforeAutospacing="0" w:after="0" w:afterAutospacing="0"/>
        <w:jc w:val="both"/>
        <w:rPr>
          <w:color w:val="000000"/>
        </w:rPr>
      </w:pPr>
      <w:r w:rsidRPr="00E73A66">
        <w:rPr>
          <w:color w:val="000000"/>
        </w:rPr>
        <w:t xml:space="preserve">Interest rate capped at 8.25% p.a. </w:t>
      </w:r>
    </w:p>
    <w:p w:rsidR="003327B0" w:rsidRPr="00E73A66" w:rsidRDefault="003327B0" w:rsidP="003327B0">
      <w:pPr>
        <w:pStyle w:val="NormalWeb"/>
        <w:numPr>
          <w:ilvl w:val="0"/>
          <w:numId w:val="27"/>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3327B0" w:rsidRPr="00E73A66" w:rsidRDefault="003327B0" w:rsidP="003327B0">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t>Launched as part of Atma Nirbhar Bharat Package in May, 2020.</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t>Contact intensive sectors already covered and shall be continued. Rs 4,000 crore given to these sectors through this window so far</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3327B0" w:rsidRPr="00E73A66" w:rsidRDefault="003327B0" w:rsidP="003327B0">
      <w:pPr>
        <w:pStyle w:val="NormalWeb"/>
        <w:numPr>
          <w:ilvl w:val="0"/>
          <w:numId w:val="28"/>
        </w:numPr>
        <w:shd w:val="clear" w:color="auto" w:fill="FFFFFF"/>
        <w:spacing w:before="0" w:beforeAutospacing="0" w:after="0" w:afterAutospacing="0"/>
        <w:jc w:val="both"/>
        <w:rPr>
          <w:color w:val="000000"/>
        </w:rPr>
      </w:pPr>
      <w:r w:rsidRPr="00E73A66">
        <w:rPr>
          <w:color w:val="000000"/>
        </w:rPr>
        <w:lastRenderedPageBreak/>
        <w:t>Overall cap of admissible guarantee to be raised from Rs. 3 lakh crore to Rs. 4.5 lakh crore</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to Rs 1.25 lakh to approximately 25 lakh small borrowers</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Focus on new lending, not repayment of old loans</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Guarantee cover for funding provided by MLIs to MFIs/NBFC-MFIs till March 31, 2022 or till guarantees for an amount of Rs.</w:t>
      </w:r>
      <w:r>
        <w:rPr>
          <w:color w:val="000000"/>
        </w:rPr>
        <w:t xml:space="preserve"> </w:t>
      </w:r>
      <w:r w:rsidRPr="00E73A66">
        <w:rPr>
          <w:color w:val="000000"/>
        </w:rPr>
        <w:t>7,500 crore are issued, whichever is earlier.</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 xml:space="preserve">Guarantee up to 75% of default amount for up to 3 years through National Credit Guarantee Trustee Company (NCGTC) </w:t>
      </w:r>
    </w:p>
    <w:p w:rsidR="003327B0" w:rsidRPr="00E73A66" w:rsidRDefault="003327B0" w:rsidP="003327B0">
      <w:pPr>
        <w:pStyle w:val="NormalWeb"/>
        <w:numPr>
          <w:ilvl w:val="0"/>
          <w:numId w:val="29"/>
        </w:numPr>
        <w:shd w:val="clear" w:color="auto" w:fill="FFFFFF"/>
        <w:spacing w:before="0" w:beforeAutospacing="0" w:after="0" w:afterAutospacing="0"/>
        <w:jc w:val="both"/>
        <w:rPr>
          <w:color w:val="000000"/>
        </w:rPr>
      </w:pPr>
      <w:r w:rsidRPr="00E73A66">
        <w:rPr>
          <w:color w:val="000000"/>
        </w:rPr>
        <w:t>No guarantee fee to be charged by NCGTC</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3327B0" w:rsidRPr="00E73A66" w:rsidRDefault="003327B0" w:rsidP="003327B0">
      <w:pPr>
        <w:pStyle w:val="NormalWeb"/>
        <w:numPr>
          <w:ilvl w:val="0"/>
          <w:numId w:val="30"/>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3327B0" w:rsidRPr="00E73A66" w:rsidRDefault="003327B0" w:rsidP="003327B0">
      <w:pPr>
        <w:pStyle w:val="NormalWeb"/>
        <w:numPr>
          <w:ilvl w:val="0"/>
          <w:numId w:val="30"/>
        </w:numPr>
        <w:shd w:val="clear" w:color="auto" w:fill="FFFFFF"/>
        <w:spacing w:before="0" w:beforeAutospacing="0" w:after="0" w:afterAutospacing="0"/>
        <w:jc w:val="both"/>
        <w:rPr>
          <w:color w:val="000000"/>
        </w:rPr>
      </w:pPr>
      <w:r w:rsidRPr="00E73A66">
        <w:rPr>
          <w:color w:val="000000"/>
        </w:rPr>
        <w:t>The scheme will cover:</w:t>
      </w:r>
    </w:p>
    <w:p w:rsidR="003327B0" w:rsidRPr="00E73A66" w:rsidRDefault="003327B0" w:rsidP="003327B0">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3327B0" w:rsidRPr="00E73A66" w:rsidRDefault="003327B0" w:rsidP="003327B0">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3327B0" w:rsidRPr="00E73A66" w:rsidRDefault="003327B0" w:rsidP="003327B0">
      <w:pPr>
        <w:pStyle w:val="NormalWeb"/>
        <w:numPr>
          <w:ilvl w:val="0"/>
          <w:numId w:val="30"/>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3327B0" w:rsidRPr="00E73A66" w:rsidRDefault="003327B0" w:rsidP="003327B0">
      <w:pPr>
        <w:pStyle w:val="NormalWeb"/>
        <w:numPr>
          <w:ilvl w:val="0"/>
          <w:numId w:val="31"/>
        </w:numPr>
        <w:shd w:val="clear" w:color="auto" w:fill="FFFFFF"/>
        <w:spacing w:before="0" w:beforeAutospacing="0" w:after="0" w:afterAutospacing="0"/>
        <w:jc w:val="both"/>
        <w:rPr>
          <w:color w:val="000000"/>
        </w:rPr>
      </w:pPr>
      <w:r>
        <w:rPr>
          <w:color w:val="000000"/>
        </w:rPr>
        <w:t>Rs. 10,00,000 for TTS (</w:t>
      </w:r>
      <w:r w:rsidRPr="00E73A66">
        <w:rPr>
          <w:color w:val="000000"/>
        </w:rPr>
        <w:t>per agency)</w:t>
      </w:r>
    </w:p>
    <w:p w:rsidR="003327B0" w:rsidRPr="00E73A66" w:rsidRDefault="003327B0" w:rsidP="003327B0">
      <w:pPr>
        <w:pStyle w:val="NormalWeb"/>
        <w:numPr>
          <w:ilvl w:val="0"/>
          <w:numId w:val="31"/>
        </w:numPr>
        <w:shd w:val="clear" w:color="auto" w:fill="FFFFFF"/>
        <w:spacing w:before="0" w:beforeAutospacing="0" w:after="0" w:afterAutospacing="0"/>
        <w:jc w:val="both"/>
        <w:rPr>
          <w:color w:val="000000"/>
        </w:rPr>
      </w:pPr>
      <w:r w:rsidRPr="00E73A66">
        <w:rPr>
          <w:color w:val="000000"/>
        </w:rPr>
        <w:t>Rs. 1,00,000 for tourist guides licenced at Regional or State level</w:t>
      </w:r>
    </w:p>
    <w:p w:rsidR="003327B0" w:rsidRPr="00E73A66" w:rsidRDefault="003327B0" w:rsidP="003327B0">
      <w:pPr>
        <w:pStyle w:val="NormalWeb"/>
        <w:numPr>
          <w:ilvl w:val="0"/>
          <w:numId w:val="30"/>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3327B0" w:rsidRPr="00E73A66" w:rsidRDefault="003327B0" w:rsidP="003327B0">
      <w:pPr>
        <w:pStyle w:val="NormalWeb"/>
        <w:numPr>
          <w:ilvl w:val="0"/>
          <w:numId w:val="30"/>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(Rs 2400).</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3327B0" w:rsidRPr="00E73A66" w:rsidRDefault="003327B0" w:rsidP="003327B0">
      <w:pPr>
        <w:pStyle w:val="NormalWeb"/>
        <w:numPr>
          <w:ilvl w:val="0"/>
          <w:numId w:val="32"/>
        </w:numPr>
        <w:shd w:val="clear" w:color="auto" w:fill="FFFFFF"/>
        <w:spacing w:before="0" w:beforeAutospacing="0" w:after="0" w:afterAutospacing="0"/>
        <w:jc w:val="both"/>
        <w:rPr>
          <w:color w:val="000000"/>
        </w:rPr>
      </w:pPr>
      <w:r w:rsidRPr="00E73A66">
        <w:rPr>
          <w:color w:val="000000"/>
        </w:rPr>
        <w:lastRenderedPageBreak/>
        <w:t>Total financial implications- Rs 100 Crore</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Extension of Atmanirbhar Bharat Rozgar Yojana</w:t>
      </w:r>
    </w:p>
    <w:p w:rsidR="003327B0" w:rsidRPr="00E73A66" w:rsidRDefault="003327B0" w:rsidP="003327B0">
      <w:pPr>
        <w:pStyle w:val="NormalWeb"/>
        <w:numPr>
          <w:ilvl w:val="0"/>
          <w:numId w:val="33"/>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3327B0" w:rsidRPr="00E73A66" w:rsidRDefault="003327B0" w:rsidP="003327B0">
      <w:pPr>
        <w:pStyle w:val="NormalWeb"/>
        <w:numPr>
          <w:ilvl w:val="0"/>
          <w:numId w:val="33"/>
        </w:numPr>
        <w:shd w:val="clear" w:color="auto" w:fill="FFFFFF"/>
        <w:spacing w:before="0" w:beforeAutospacing="0" w:after="0" w:afterAutospacing="0"/>
        <w:jc w:val="both"/>
        <w:rPr>
          <w:color w:val="000000"/>
        </w:rPr>
      </w:pPr>
      <w:r w:rsidRPr="00E73A66">
        <w:rPr>
          <w:color w:val="000000"/>
        </w:rPr>
        <w:t>Approved outlay Rs. 22,810 crore for 58.50 lakh estimated beneficiaries. Last date for registration is 30.06.2021.</w:t>
      </w:r>
    </w:p>
    <w:p w:rsidR="003327B0" w:rsidRPr="00E73A66" w:rsidRDefault="003327B0" w:rsidP="003327B0">
      <w:pPr>
        <w:pStyle w:val="NormalWeb"/>
        <w:numPr>
          <w:ilvl w:val="0"/>
          <w:numId w:val="33"/>
        </w:numPr>
        <w:shd w:val="clear" w:color="auto" w:fill="FFFFFF"/>
        <w:spacing w:before="0" w:beforeAutospacing="0" w:after="0" w:afterAutospacing="0"/>
        <w:jc w:val="both"/>
        <w:rPr>
          <w:color w:val="000000"/>
        </w:rPr>
      </w:pPr>
      <w:r w:rsidRPr="00E73A66">
        <w:rPr>
          <w:color w:val="000000"/>
        </w:rPr>
        <w:t>Subsidy provided for two years from registration for new employees drawing monthly wages less than Rs. 15000 for:</w:t>
      </w:r>
    </w:p>
    <w:p w:rsidR="003327B0" w:rsidRPr="00E73A66" w:rsidRDefault="003327B0" w:rsidP="003327B0">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upto 1000 employees.</w:t>
      </w:r>
    </w:p>
    <w:p w:rsidR="003327B0" w:rsidRPr="00E73A66" w:rsidRDefault="003327B0" w:rsidP="003327B0">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3327B0" w:rsidRPr="00E73A66" w:rsidRDefault="003327B0" w:rsidP="003327B0">
      <w:pPr>
        <w:pStyle w:val="NormalWeb"/>
        <w:numPr>
          <w:ilvl w:val="0"/>
          <w:numId w:val="33"/>
        </w:numPr>
        <w:shd w:val="clear" w:color="auto" w:fill="FFFFFF"/>
        <w:spacing w:before="0" w:beforeAutospacing="0" w:after="0" w:afterAutospacing="0"/>
        <w:jc w:val="both"/>
        <w:rPr>
          <w:color w:val="000000"/>
        </w:rPr>
      </w:pPr>
      <w:r w:rsidRPr="00E73A66">
        <w:rPr>
          <w:color w:val="000000"/>
        </w:rPr>
        <w:t>Benefit of Rs. 902 Cr given to 21.42 lakh beneficiaries of 79,577 establishments till 18.06.2021</w:t>
      </w:r>
    </w:p>
    <w:p w:rsidR="003327B0" w:rsidRPr="00E73A66" w:rsidRDefault="003327B0" w:rsidP="003327B0">
      <w:pPr>
        <w:pStyle w:val="NormalWeb"/>
        <w:numPr>
          <w:ilvl w:val="0"/>
          <w:numId w:val="33"/>
        </w:numPr>
        <w:shd w:val="clear" w:color="auto" w:fill="FFFFFF"/>
        <w:spacing w:before="0" w:beforeAutospacing="0" w:after="0" w:afterAutospacing="0"/>
        <w:jc w:val="both"/>
        <w:rPr>
          <w:color w:val="000000"/>
        </w:rPr>
      </w:pPr>
      <w:r w:rsidRPr="00E73A66">
        <w:rPr>
          <w:color w:val="000000"/>
        </w:rPr>
        <w:t>Scheme extended from 30.6.2021 to 31.03.2022</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3327B0" w:rsidRPr="00E73A66" w:rsidRDefault="003327B0" w:rsidP="003327B0">
      <w:pPr>
        <w:pStyle w:val="NormalWeb"/>
        <w:shd w:val="clear" w:color="auto" w:fill="FFFFFF"/>
        <w:spacing w:before="0" w:beforeAutospacing="0" w:after="0" w:afterAutospacing="0"/>
        <w:jc w:val="both"/>
        <w:rPr>
          <w:b/>
          <w:color w:val="000000"/>
        </w:rPr>
      </w:pPr>
      <w:r w:rsidRPr="00E73A66">
        <w:rPr>
          <w:b/>
          <w:color w:val="000000"/>
        </w:rPr>
        <w:t>(Announced Earlier)</w:t>
      </w:r>
    </w:p>
    <w:p w:rsidR="003327B0" w:rsidRPr="00E73A66" w:rsidRDefault="003327B0" w:rsidP="003327B0">
      <w:pPr>
        <w:pStyle w:val="NormalWeb"/>
        <w:numPr>
          <w:ilvl w:val="0"/>
          <w:numId w:val="34"/>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3327B0" w:rsidRPr="00E73A66" w:rsidRDefault="003327B0" w:rsidP="003327B0">
      <w:pPr>
        <w:pStyle w:val="NormalWeb"/>
        <w:numPr>
          <w:ilvl w:val="0"/>
          <w:numId w:val="34"/>
        </w:numPr>
        <w:shd w:val="clear" w:color="auto" w:fill="FFFFFF"/>
        <w:spacing w:before="0" w:beforeAutospacing="0" w:after="0" w:afterAutospacing="0"/>
        <w:jc w:val="both"/>
        <w:rPr>
          <w:color w:val="000000"/>
        </w:rPr>
      </w:pPr>
      <w:r w:rsidRPr="00E73A66">
        <w:rPr>
          <w:color w:val="000000"/>
        </w:rPr>
        <w:t>Rs 85,413 Crore paid to farmers</w:t>
      </w:r>
    </w:p>
    <w:p w:rsidR="003327B0" w:rsidRPr="00E73A66" w:rsidRDefault="003327B0" w:rsidP="003327B0">
      <w:pPr>
        <w:pStyle w:val="NormalWeb"/>
        <w:numPr>
          <w:ilvl w:val="0"/>
          <w:numId w:val="34"/>
        </w:numPr>
        <w:shd w:val="clear" w:color="auto" w:fill="FFFFFF"/>
        <w:spacing w:before="0" w:beforeAutospacing="0" w:after="0" w:afterAutospacing="0"/>
        <w:jc w:val="both"/>
        <w:rPr>
          <w:color w:val="000000"/>
        </w:rPr>
      </w:pPr>
      <w:r w:rsidRPr="00E73A66">
        <w:rPr>
          <w:color w:val="000000"/>
        </w:rPr>
        <w:t>Existing NBS subsidy was Rs.</w:t>
      </w:r>
      <w:r>
        <w:rPr>
          <w:color w:val="000000"/>
        </w:rPr>
        <w:t xml:space="preserve"> </w:t>
      </w:r>
      <w:r w:rsidRPr="00E73A66">
        <w:rPr>
          <w:color w:val="000000"/>
        </w:rPr>
        <w:t>27,500 crores in FY 2020-21 which has been increased to Rs. 42,275 crore in FY 2021-22</w:t>
      </w:r>
    </w:p>
    <w:p w:rsidR="003327B0" w:rsidRPr="00E73A66" w:rsidRDefault="003327B0" w:rsidP="003327B0">
      <w:pPr>
        <w:pStyle w:val="NormalWeb"/>
        <w:numPr>
          <w:ilvl w:val="0"/>
          <w:numId w:val="34"/>
        </w:numPr>
        <w:shd w:val="clear" w:color="auto" w:fill="FFFFFF"/>
        <w:spacing w:before="0" w:beforeAutospacing="0" w:after="0" w:afterAutospacing="0"/>
        <w:jc w:val="both"/>
        <w:rPr>
          <w:color w:val="000000"/>
        </w:rPr>
      </w:pPr>
      <w:r w:rsidRPr="00E73A66">
        <w:rPr>
          <w:color w:val="000000"/>
        </w:rPr>
        <w:t>Additional amount of Rs.</w:t>
      </w:r>
      <w:r>
        <w:rPr>
          <w:color w:val="000000"/>
        </w:rPr>
        <w:t xml:space="preserve"> </w:t>
      </w:r>
      <w:r w:rsidRPr="00E73A66">
        <w:rPr>
          <w:color w:val="000000"/>
        </w:rPr>
        <w:t>14,775 crore to be provided. This includes Rs.</w:t>
      </w:r>
      <w:r>
        <w:rPr>
          <w:color w:val="000000"/>
        </w:rPr>
        <w:t xml:space="preserve"> </w:t>
      </w:r>
      <w:r w:rsidRPr="00E73A66">
        <w:rPr>
          <w:color w:val="000000"/>
        </w:rPr>
        <w:t>9,125 crore additional subsidy for DAP and Rs.5,650 crore additional subsidy for NPK based complex fertilizer</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Extension of Pradhan Mantri Gareeb Kalyan Anna Yojana (PMGKAY)</w:t>
      </w:r>
    </w:p>
    <w:p w:rsidR="003327B0" w:rsidRPr="00E73A66" w:rsidRDefault="003327B0" w:rsidP="003327B0">
      <w:pPr>
        <w:pStyle w:val="NormalWeb"/>
        <w:shd w:val="clear" w:color="auto" w:fill="FFFFFF"/>
        <w:spacing w:before="0" w:beforeAutospacing="0" w:after="0" w:afterAutospacing="0"/>
        <w:jc w:val="both"/>
        <w:rPr>
          <w:b/>
          <w:color w:val="000000"/>
        </w:rPr>
      </w:pPr>
      <w:r w:rsidRPr="00E73A66">
        <w:rPr>
          <w:b/>
          <w:color w:val="000000"/>
        </w:rPr>
        <w:t>(Announced Earlier)</w:t>
      </w:r>
    </w:p>
    <w:p w:rsidR="003327B0" w:rsidRPr="00E73A66" w:rsidRDefault="003327B0" w:rsidP="003327B0">
      <w:pPr>
        <w:pStyle w:val="NormalWeb"/>
        <w:numPr>
          <w:ilvl w:val="0"/>
          <w:numId w:val="35"/>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3327B0" w:rsidRPr="00E73A66" w:rsidRDefault="003327B0" w:rsidP="003327B0">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3327B0" w:rsidRPr="00E73A66" w:rsidRDefault="003327B0" w:rsidP="003327B0">
      <w:pPr>
        <w:pStyle w:val="NormalWeb"/>
        <w:numPr>
          <w:ilvl w:val="0"/>
          <w:numId w:val="35"/>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3327B0" w:rsidRPr="00E73A66" w:rsidRDefault="003327B0" w:rsidP="003327B0">
      <w:pPr>
        <w:pStyle w:val="NormalWeb"/>
        <w:numPr>
          <w:ilvl w:val="0"/>
          <w:numId w:val="35"/>
        </w:numPr>
        <w:shd w:val="clear" w:color="auto" w:fill="FFFFFF"/>
        <w:spacing w:before="0" w:beforeAutospacing="0" w:after="0" w:afterAutospacing="0"/>
        <w:jc w:val="both"/>
        <w:rPr>
          <w:color w:val="000000"/>
        </w:rPr>
      </w:pPr>
      <w:r w:rsidRPr="00E73A66">
        <w:rPr>
          <w:color w:val="000000"/>
        </w:rPr>
        <w:t>The total cost of the scheme in 2020-21 was Rs. 133,972 crore.</w:t>
      </w:r>
    </w:p>
    <w:p w:rsidR="003327B0" w:rsidRPr="00804175" w:rsidRDefault="003327B0" w:rsidP="003327B0">
      <w:pPr>
        <w:pStyle w:val="NormalWeb"/>
        <w:numPr>
          <w:ilvl w:val="0"/>
          <w:numId w:val="35"/>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3327B0" w:rsidRPr="00804175" w:rsidRDefault="003327B0" w:rsidP="003327B0">
      <w:pPr>
        <w:pStyle w:val="NormalWeb"/>
        <w:numPr>
          <w:ilvl w:val="0"/>
          <w:numId w:val="35"/>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3327B0" w:rsidRPr="00804175" w:rsidRDefault="003327B0" w:rsidP="003327B0">
      <w:pPr>
        <w:pStyle w:val="NormalWeb"/>
        <w:numPr>
          <w:ilvl w:val="0"/>
          <w:numId w:val="35"/>
        </w:numPr>
        <w:shd w:val="clear" w:color="auto" w:fill="FFFFFF"/>
        <w:spacing w:before="0" w:beforeAutospacing="0" w:after="0" w:afterAutospacing="0"/>
        <w:jc w:val="both"/>
        <w:rPr>
          <w:color w:val="000000"/>
        </w:rPr>
      </w:pPr>
      <w:r w:rsidRPr="00804175">
        <w:rPr>
          <w:color w:val="000000"/>
        </w:rPr>
        <w:t>Estimated financial implications are Rs 93,869 cr, bringing the total cost of PMGKY to Rs 2,27,841 Crore</w:t>
      </w:r>
    </w:p>
    <w:p w:rsidR="003327B0" w:rsidRDefault="003327B0" w:rsidP="003327B0">
      <w:pPr>
        <w:pStyle w:val="NormalWeb"/>
        <w:shd w:val="clear" w:color="auto" w:fill="FFFFFF"/>
        <w:spacing w:before="0" w:beforeAutospacing="0" w:after="0" w:afterAutospacing="0"/>
        <w:jc w:val="both"/>
        <w:rPr>
          <w:b/>
          <w:color w:val="000000"/>
        </w:rPr>
      </w:pPr>
    </w:p>
    <w:p w:rsidR="003327B0" w:rsidRPr="00804175" w:rsidRDefault="003327B0" w:rsidP="003327B0">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Pr>
          <w:b/>
          <w:color w:val="000000"/>
        </w:rPr>
        <w:lastRenderedPageBreak/>
        <w:t xml:space="preserve">IX. </w:t>
      </w:r>
      <w:r w:rsidRPr="00804175">
        <w:rPr>
          <w:b/>
          <w:color w:val="000000"/>
        </w:rPr>
        <w:t>Rs. 23,220 Cr More for Public Health</w:t>
      </w:r>
    </w:p>
    <w:p w:rsidR="003327B0" w:rsidRPr="00804175" w:rsidRDefault="003327B0" w:rsidP="003327B0">
      <w:pPr>
        <w:pStyle w:val="NormalWeb"/>
        <w:numPr>
          <w:ilvl w:val="0"/>
          <w:numId w:val="36"/>
        </w:numPr>
        <w:shd w:val="clear" w:color="auto" w:fill="FFFFFF"/>
        <w:spacing w:before="0" w:beforeAutospacing="0" w:after="0" w:afterAutospacing="0"/>
        <w:jc w:val="both"/>
        <w:rPr>
          <w:color w:val="000000"/>
        </w:rPr>
      </w:pPr>
      <w:r w:rsidRPr="00804175">
        <w:rPr>
          <w:color w:val="000000"/>
        </w:rPr>
        <w:t>Rs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3327B0" w:rsidRPr="00804175" w:rsidRDefault="003327B0" w:rsidP="003327B0">
      <w:pPr>
        <w:pStyle w:val="NormalWeb"/>
        <w:numPr>
          <w:ilvl w:val="0"/>
          <w:numId w:val="36"/>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3327B0" w:rsidRPr="00E73A66" w:rsidRDefault="003327B0" w:rsidP="003327B0">
      <w:pPr>
        <w:pStyle w:val="NormalWeb"/>
        <w:numPr>
          <w:ilvl w:val="0"/>
          <w:numId w:val="36"/>
        </w:numPr>
        <w:shd w:val="clear" w:color="auto" w:fill="FFFFFF"/>
        <w:spacing w:before="0" w:beforeAutospacing="0" w:after="0" w:afterAutospacing="0"/>
        <w:jc w:val="both"/>
        <w:rPr>
          <w:color w:val="000000"/>
        </w:rPr>
      </w:pPr>
      <w:r w:rsidRPr="00E73A66">
        <w:rPr>
          <w:color w:val="000000"/>
        </w:rPr>
        <w:t>Rs 23,220 Cr earmarked for one year</w:t>
      </w:r>
    </w:p>
    <w:p w:rsidR="003327B0" w:rsidRPr="00804175" w:rsidRDefault="003327B0" w:rsidP="003327B0">
      <w:pPr>
        <w:pStyle w:val="NormalWeb"/>
        <w:numPr>
          <w:ilvl w:val="0"/>
          <w:numId w:val="36"/>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3327B0" w:rsidRPr="00E73A66" w:rsidRDefault="003327B0" w:rsidP="003327B0">
      <w:pPr>
        <w:pStyle w:val="NormalWeb"/>
        <w:numPr>
          <w:ilvl w:val="0"/>
          <w:numId w:val="36"/>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3327B0" w:rsidRPr="00E73A66" w:rsidRDefault="003327B0" w:rsidP="003327B0">
      <w:pPr>
        <w:pStyle w:val="NormalWeb"/>
        <w:numPr>
          <w:ilvl w:val="0"/>
          <w:numId w:val="36"/>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3327B0" w:rsidRPr="00804175" w:rsidRDefault="003327B0" w:rsidP="003327B0">
      <w:pPr>
        <w:pStyle w:val="NormalWeb"/>
        <w:numPr>
          <w:ilvl w:val="0"/>
          <w:numId w:val="36"/>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3327B0" w:rsidRDefault="003327B0" w:rsidP="003327B0">
      <w:pPr>
        <w:pStyle w:val="NormalWeb"/>
        <w:shd w:val="clear" w:color="auto" w:fill="FFFFFF"/>
        <w:spacing w:before="0" w:beforeAutospacing="0" w:after="0" w:afterAutospacing="0"/>
        <w:jc w:val="both"/>
        <w:rPr>
          <w:b/>
          <w:color w:val="000000"/>
          <w:u w:val="single"/>
        </w:rPr>
      </w:pPr>
    </w:p>
    <w:p w:rsidR="003327B0" w:rsidRPr="00804175" w:rsidRDefault="003327B0" w:rsidP="003327B0">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3327B0" w:rsidRPr="00804175" w:rsidRDefault="003327B0" w:rsidP="003327B0">
      <w:pPr>
        <w:pStyle w:val="NormalWeb"/>
        <w:numPr>
          <w:ilvl w:val="0"/>
          <w:numId w:val="37"/>
        </w:numPr>
        <w:shd w:val="clear" w:color="auto" w:fill="FFFFFF"/>
        <w:spacing w:before="0" w:beforeAutospacing="0" w:after="0" w:afterAutospacing="0"/>
        <w:jc w:val="both"/>
        <w:rPr>
          <w:color w:val="000000"/>
        </w:rPr>
      </w:pPr>
      <w:r w:rsidRPr="00804175">
        <w:rPr>
          <w:color w:val="000000"/>
        </w:rPr>
        <w:t>Earlier focus of research was on developing higher yield crop varieties. Attention towards nutrition, climate resilience and other traits was missing.</w:t>
      </w:r>
    </w:p>
    <w:p w:rsidR="003327B0" w:rsidRPr="00804175" w:rsidRDefault="003327B0" w:rsidP="003327B0">
      <w:pPr>
        <w:pStyle w:val="NormalWeb"/>
        <w:numPr>
          <w:ilvl w:val="0"/>
          <w:numId w:val="37"/>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3327B0" w:rsidRPr="00804175" w:rsidRDefault="003327B0" w:rsidP="003327B0">
      <w:pPr>
        <w:pStyle w:val="NormalWeb"/>
        <w:numPr>
          <w:ilvl w:val="0"/>
          <w:numId w:val="37"/>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3327B0" w:rsidRPr="00804175" w:rsidRDefault="003327B0" w:rsidP="003327B0">
      <w:pPr>
        <w:pStyle w:val="NormalWeb"/>
        <w:numPr>
          <w:ilvl w:val="0"/>
          <w:numId w:val="37"/>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3327B0" w:rsidRPr="00804175" w:rsidRDefault="003327B0" w:rsidP="003327B0">
      <w:pPr>
        <w:pStyle w:val="NormalWeb"/>
        <w:numPr>
          <w:ilvl w:val="0"/>
          <w:numId w:val="37"/>
        </w:numPr>
        <w:shd w:val="clear" w:color="auto" w:fill="FFFFFF"/>
        <w:spacing w:before="0" w:beforeAutospacing="0" w:after="0" w:afterAutospacing="0"/>
        <w:jc w:val="both"/>
        <w:rPr>
          <w:color w:val="000000"/>
        </w:rPr>
      </w:pPr>
      <w:r w:rsidRPr="00804175">
        <w:rPr>
          <w:color w:val="000000"/>
        </w:rPr>
        <w:t>21 such varieties of rice, peas, millet, maize, soyabean, quinoa, buckwheat, winged bean, pigeon pea &amp; sorghum will be dedicated to the nation.</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Established in 1982 to support farmers of North East in getting remunerative prices of agri-horticulture produces</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3327B0" w:rsidRPr="00804175" w:rsidRDefault="003327B0" w:rsidP="003327B0">
      <w:pPr>
        <w:pStyle w:val="NormalWeb"/>
        <w:numPr>
          <w:ilvl w:val="0"/>
          <w:numId w:val="38"/>
        </w:numPr>
        <w:shd w:val="clear" w:color="auto" w:fill="FFFFFF"/>
        <w:spacing w:before="0" w:beforeAutospacing="0" w:after="0" w:afterAutospacing="0"/>
        <w:jc w:val="both"/>
        <w:rPr>
          <w:color w:val="000000"/>
        </w:rPr>
      </w:pPr>
      <w:r w:rsidRPr="00804175">
        <w:rPr>
          <w:color w:val="000000"/>
        </w:rPr>
        <w:t>Revival package of Rs 77.45 cr proposed for financial restructuring and infusion of funds to NERAMAC</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Pr>
          <w:b/>
          <w:color w:val="000000"/>
        </w:rPr>
        <w:t xml:space="preserve">XII. </w:t>
      </w:r>
      <w:r w:rsidRPr="00804175">
        <w:rPr>
          <w:b/>
          <w:color w:val="000000"/>
        </w:rPr>
        <w:t>Rs 33,000 Crore Boost for Project Exports through National Export Insurance Account (NEIA)</w:t>
      </w:r>
    </w:p>
    <w:p w:rsidR="003327B0" w:rsidRPr="00804175" w:rsidRDefault="003327B0" w:rsidP="003327B0">
      <w:pPr>
        <w:pStyle w:val="NormalWeb"/>
        <w:numPr>
          <w:ilvl w:val="0"/>
          <w:numId w:val="39"/>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3327B0" w:rsidRPr="00804175" w:rsidRDefault="003327B0" w:rsidP="003327B0">
      <w:pPr>
        <w:pStyle w:val="NormalWeb"/>
        <w:numPr>
          <w:ilvl w:val="0"/>
          <w:numId w:val="39"/>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3327B0" w:rsidRPr="00804175" w:rsidRDefault="003327B0" w:rsidP="003327B0">
      <w:pPr>
        <w:pStyle w:val="NormalWeb"/>
        <w:numPr>
          <w:ilvl w:val="0"/>
          <w:numId w:val="39"/>
        </w:numPr>
        <w:shd w:val="clear" w:color="auto" w:fill="FFFFFF"/>
        <w:spacing w:before="0" w:beforeAutospacing="0" w:after="0" w:afterAutospacing="0"/>
        <w:jc w:val="both"/>
        <w:rPr>
          <w:color w:val="000000"/>
        </w:rPr>
      </w:pPr>
      <w:r w:rsidRPr="00804175">
        <w:rPr>
          <w:color w:val="000000"/>
        </w:rPr>
        <w:t xml:space="preserve">NEIA Trust has supported 211 projects of Rs 52,860 cr in 52 countries by 63 different Indian Project Exporters till March 31, 2021 </w:t>
      </w:r>
    </w:p>
    <w:p w:rsidR="003327B0" w:rsidRPr="00804175" w:rsidRDefault="003327B0" w:rsidP="003327B0">
      <w:pPr>
        <w:pStyle w:val="NormalWeb"/>
        <w:numPr>
          <w:ilvl w:val="0"/>
          <w:numId w:val="39"/>
        </w:numPr>
        <w:shd w:val="clear" w:color="auto" w:fill="FFFFFF"/>
        <w:spacing w:before="0" w:beforeAutospacing="0" w:after="0" w:afterAutospacing="0"/>
        <w:jc w:val="both"/>
        <w:rPr>
          <w:color w:val="000000"/>
        </w:rPr>
      </w:pPr>
      <w:r w:rsidRPr="00804175">
        <w:rPr>
          <w:color w:val="000000"/>
        </w:rPr>
        <w:t>Proposed to provide additional corpus to NEIA over 5 years to allow it to underwrite additional Rs. 33,000 crores of project exports</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Pr>
          <w:b/>
          <w:color w:val="000000"/>
        </w:rPr>
        <w:t xml:space="preserve">XIII. </w:t>
      </w:r>
      <w:r w:rsidRPr="00804175">
        <w:rPr>
          <w:b/>
          <w:color w:val="000000"/>
        </w:rPr>
        <w:t>Rs. 88,000 crore Boost to Export Insurance Cover</w:t>
      </w:r>
    </w:p>
    <w:p w:rsidR="003327B0" w:rsidRPr="00804175" w:rsidRDefault="003327B0" w:rsidP="003327B0">
      <w:pPr>
        <w:pStyle w:val="NormalWeb"/>
        <w:numPr>
          <w:ilvl w:val="0"/>
          <w:numId w:val="40"/>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3327B0" w:rsidRPr="00E73A66" w:rsidRDefault="003327B0" w:rsidP="003327B0">
      <w:pPr>
        <w:pStyle w:val="NormalWeb"/>
        <w:numPr>
          <w:ilvl w:val="0"/>
          <w:numId w:val="40"/>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3327B0" w:rsidRPr="00804175" w:rsidRDefault="003327B0" w:rsidP="003327B0">
      <w:pPr>
        <w:pStyle w:val="NormalWeb"/>
        <w:numPr>
          <w:ilvl w:val="0"/>
          <w:numId w:val="40"/>
        </w:numPr>
        <w:shd w:val="clear" w:color="auto" w:fill="FFFFFF"/>
        <w:spacing w:before="0" w:beforeAutospacing="0" w:after="0" w:afterAutospacing="0"/>
        <w:jc w:val="both"/>
        <w:rPr>
          <w:color w:val="000000"/>
        </w:rPr>
      </w:pPr>
      <w:r w:rsidRPr="00804175">
        <w:rPr>
          <w:color w:val="000000"/>
        </w:rPr>
        <w:t>Proposed to infuse equity in ECGC over 5 years to boost export insurance cover by Rs. 88,000 cr</w:t>
      </w:r>
    </w:p>
    <w:p w:rsidR="003327B0" w:rsidRDefault="003327B0" w:rsidP="003327B0">
      <w:pPr>
        <w:pStyle w:val="NormalWeb"/>
        <w:shd w:val="clear" w:color="auto" w:fill="FFFFFF"/>
        <w:spacing w:before="0" w:beforeAutospacing="0" w:after="0" w:afterAutospacing="0"/>
        <w:jc w:val="both"/>
        <w:rPr>
          <w:color w:val="000000"/>
        </w:rPr>
      </w:pPr>
    </w:p>
    <w:p w:rsidR="003327B0" w:rsidRPr="00E73A66" w:rsidRDefault="003327B0" w:rsidP="003327B0">
      <w:pPr>
        <w:pStyle w:val="NormalWeb"/>
        <w:shd w:val="clear" w:color="auto" w:fill="FFFFFF"/>
        <w:spacing w:before="0" w:beforeAutospacing="0" w:after="0" w:afterAutospacing="0"/>
        <w:jc w:val="both"/>
        <w:rPr>
          <w:color w:val="000000"/>
        </w:rPr>
      </w:pPr>
      <w:r w:rsidRPr="00804175">
        <w:rPr>
          <w:b/>
          <w:color w:val="000000"/>
        </w:rPr>
        <w:t>XIV. Digital India: Rs. 19041 Cr for Broadband to each Village through</w:t>
      </w:r>
      <w:r>
        <w:rPr>
          <w:b/>
          <w:color w:val="000000"/>
        </w:rPr>
        <w:t xml:space="preserve"> </w:t>
      </w:r>
      <w:r w:rsidRPr="00804175">
        <w:rPr>
          <w:b/>
          <w:color w:val="000000"/>
        </w:rPr>
        <w:t>BharatNet PPP Model</w:t>
      </w:r>
    </w:p>
    <w:p w:rsidR="003327B0" w:rsidRPr="00804175" w:rsidRDefault="003327B0" w:rsidP="003327B0">
      <w:pPr>
        <w:pStyle w:val="NormalWeb"/>
        <w:numPr>
          <w:ilvl w:val="0"/>
          <w:numId w:val="41"/>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3327B0" w:rsidRPr="00804175" w:rsidRDefault="003327B0" w:rsidP="003327B0">
      <w:pPr>
        <w:pStyle w:val="NormalWeb"/>
        <w:numPr>
          <w:ilvl w:val="0"/>
          <w:numId w:val="41"/>
        </w:numPr>
        <w:shd w:val="clear" w:color="auto" w:fill="FFFFFF"/>
        <w:spacing w:before="0" w:beforeAutospacing="0" w:after="0" w:afterAutospacing="0"/>
        <w:jc w:val="both"/>
        <w:rPr>
          <w:color w:val="000000"/>
        </w:rPr>
      </w:pPr>
      <w:r w:rsidRPr="00804175">
        <w:rPr>
          <w:color w:val="000000"/>
        </w:rPr>
        <w:t>Out of 2,50,000 Gram Panchayats, 1,56,223 Gram Panchayats have been made service ready by 31st May, 2021</w:t>
      </w:r>
    </w:p>
    <w:p w:rsidR="003327B0" w:rsidRPr="00804175" w:rsidRDefault="003327B0" w:rsidP="003327B0">
      <w:pPr>
        <w:pStyle w:val="NormalWeb"/>
        <w:numPr>
          <w:ilvl w:val="0"/>
          <w:numId w:val="41"/>
        </w:numPr>
        <w:shd w:val="clear" w:color="auto" w:fill="FFFFFF"/>
        <w:spacing w:before="0" w:beforeAutospacing="0" w:after="0" w:afterAutospacing="0"/>
        <w:jc w:val="both"/>
        <w:rPr>
          <w:color w:val="000000"/>
        </w:rPr>
      </w:pPr>
      <w:r w:rsidRPr="00804175">
        <w:rPr>
          <w:color w:val="000000"/>
        </w:rPr>
        <w:t>Implementation of BharatNet in PPP model in 16 States (bundled into 9 packages) on viability gap funding basis</w:t>
      </w:r>
    </w:p>
    <w:p w:rsidR="003327B0" w:rsidRPr="00E73A66" w:rsidRDefault="003327B0" w:rsidP="003327B0">
      <w:pPr>
        <w:pStyle w:val="NormalWeb"/>
        <w:numPr>
          <w:ilvl w:val="0"/>
          <w:numId w:val="41"/>
        </w:numPr>
        <w:shd w:val="clear" w:color="auto" w:fill="FFFFFF"/>
        <w:spacing w:before="0" w:beforeAutospacing="0" w:after="0" w:afterAutospacing="0"/>
        <w:jc w:val="both"/>
        <w:rPr>
          <w:color w:val="000000"/>
        </w:rPr>
      </w:pPr>
      <w:r w:rsidRPr="00E73A66">
        <w:rPr>
          <w:color w:val="000000"/>
        </w:rPr>
        <w:t xml:space="preserve">Additional Rs. 19,041 Cr being provided for BharatNet </w:t>
      </w:r>
    </w:p>
    <w:p w:rsidR="003327B0" w:rsidRPr="00804175" w:rsidRDefault="003327B0" w:rsidP="003327B0">
      <w:pPr>
        <w:pStyle w:val="NormalWeb"/>
        <w:numPr>
          <w:ilvl w:val="0"/>
          <w:numId w:val="41"/>
        </w:numPr>
        <w:shd w:val="clear" w:color="auto" w:fill="FFFFFF"/>
        <w:spacing w:before="0" w:beforeAutospacing="0" w:after="0" w:afterAutospacing="0"/>
        <w:jc w:val="both"/>
        <w:rPr>
          <w:color w:val="000000"/>
        </w:rPr>
      </w:pPr>
      <w:r w:rsidRPr="00804175">
        <w:rPr>
          <w:color w:val="000000"/>
        </w:rPr>
        <w:t>Total outlay will be Rs. 61,109 crores including already approved amount of Rs. 42,068 crores in 2017</w:t>
      </w:r>
    </w:p>
    <w:p w:rsidR="003327B0" w:rsidRPr="00804175" w:rsidRDefault="003327B0" w:rsidP="003327B0">
      <w:pPr>
        <w:pStyle w:val="NormalWeb"/>
        <w:numPr>
          <w:ilvl w:val="0"/>
          <w:numId w:val="41"/>
        </w:numPr>
        <w:shd w:val="clear" w:color="auto" w:fill="FFFFFF"/>
        <w:spacing w:before="0" w:beforeAutospacing="0" w:after="0" w:afterAutospacing="0"/>
        <w:jc w:val="both"/>
        <w:rPr>
          <w:color w:val="000000"/>
        </w:rPr>
      </w:pPr>
      <w:r w:rsidRPr="00804175">
        <w:rPr>
          <w:color w:val="000000"/>
        </w:rPr>
        <w:t>Expansion and upgradation of BharatNet to cover all Gram Panchayats and inhabited villages</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3327B0" w:rsidRPr="00804175" w:rsidRDefault="003327B0" w:rsidP="003327B0">
      <w:pPr>
        <w:pStyle w:val="NormalWeb"/>
        <w:numPr>
          <w:ilvl w:val="0"/>
          <w:numId w:val="42"/>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3327B0" w:rsidRPr="00E73A66" w:rsidRDefault="003327B0" w:rsidP="003327B0">
      <w:pPr>
        <w:pStyle w:val="NormalWeb"/>
        <w:numPr>
          <w:ilvl w:val="0"/>
          <w:numId w:val="42"/>
        </w:numPr>
        <w:shd w:val="clear" w:color="auto" w:fill="FFFFFF"/>
        <w:spacing w:before="0" w:beforeAutospacing="0" w:after="0" w:afterAutospacing="0"/>
        <w:jc w:val="both"/>
        <w:rPr>
          <w:color w:val="000000"/>
        </w:rPr>
      </w:pPr>
      <w:r w:rsidRPr="00E73A66">
        <w:rPr>
          <w:color w:val="000000"/>
        </w:rPr>
        <w:t>Incentives applicable from 01.08.2020. Base year 2019-20</w:t>
      </w:r>
    </w:p>
    <w:p w:rsidR="003327B0" w:rsidRPr="00E73A66" w:rsidRDefault="003327B0" w:rsidP="003327B0">
      <w:pPr>
        <w:pStyle w:val="NormalWeb"/>
        <w:numPr>
          <w:ilvl w:val="0"/>
          <w:numId w:val="42"/>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3327B0" w:rsidRPr="00E73A66" w:rsidRDefault="003327B0" w:rsidP="003327B0">
      <w:pPr>
        <w:pStyle w:val="NormalWeb"/>
        <w:numPr>
          <w:ilvl w:val="1"/>
          <w:numId w:val="42"/>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3327B0" w:rsidRPr="00E73A66" w:rsidRDefault="003327B0" w:rsidP="003327B0">
      <w:pPr>
        <w:pStyle w:val="NormalWeb"/>
        <w:numPr>
          <w:ilvl w:val="1"/>
          <w:numId w:val="42"/>
        </w:numPr>
        <w:shd w:val="clear" w:color="auto" w:fill="FFFFFF"/>
        <w:spacing w:before="0" w:beforeAutospacing="0" w:after="0" w:afterAutospacing="0"/>
        <w:jc w:val="both"/>
        <w:rPr>
          <w:color w:val="000000"/>
        </w:rPr>
      </w:pPr>
      <w:r w:rsidRPr="00E73A66">
        <w:rPr>
          <w:color w:val="000000"/>
        </w:rPr>
        <w:t>restrictions on movement of personnel</w:t>
      </w:r>
    </w:p>
    <w:p w:rsidR="003327B0" w:rsidRPr="00E73A66" w:rsidRDefault="003327B0" w:rsidP="003327B0">
      <w:pPr>
        <w:pStyle w:val="NormalWeb"/>
        <w:numPr>
          <w:ilvl w:val="1"/>
          <w:numId w:val="42"/>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3327B0" w:rsidRPr="00E73A66" w:rsidRDefault="003327B0" w:rsidP="003327B0">
      <w:pPr>
        <w:pStyle w:val="NormalWeb"/>
        <w:numPr>
          <w:ilvl w:val="1"/>
          <w:numId w:val="42"/>
        </w:numPr>
        <w:shd w:val="clear" w:color="auto" w:fill="FFFFFF"/>
        <w:spacing w:before="0" w:beforeAutospacing="0" w:after="0" w:afterAutospacing="0"/>
        <w:jc w:val="both"/>
        <w:rPr>
          <w:color w:val="000000"/>
        </w:rPr>
      </w:pPr>
      <w:r w:rsidRPr="00E73A66">
        <w:rPr>
          <w:color w:val="000000"/>
        </w:rPr>
        <w:t>disruption in supply chain of components</w:t>
      </w:r>
    </w:p>
    <w:p w:rsidR="003327B0" w:rsidRPr="00804175" w:rsidRDefault="003327B0" w:rsidP="003327B0">
      <w:pPr>
        <w:pStyle w:val="NormalWeb"/>
        <w:numPr>
          <w:ilvl w:val="0"/>
          <w:numId w:val="42"/>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3327B0" w:rsidRPr="00804175" w:rsidRDefault="003327B0" w:rsidP="003327B0">
      <w:pPr>
        <w:pStyle w:val="NormalWeb"/>
        <w:numPr>
          <w:ilvl w:val="0"/>
          <w:numId w:val="42"/>
        </w:numPr>
        <w:shd w:val="clear" w:color="auto" w:fill="FFFFFF"/>
        <w:spacing w:before="0" w:beforeAutospacing="0" w:after="0" w:afterAutospacing="0"/>
        <w:jc w:val="both"/>
        <w:rPr>
          <w:color w:val="000000"/>
        </w:rPr>
      </w:pPr>
      <w:r w:rsidRPr="00804175">
        <w:rPr>
          <w:color w:val="000000"/>
        </w:rPr>
        <w:lastRenderedPageBreak/>
        <w:t>Participating companies will get option of choosing any five years for meeting their production targets under the scheme.</w:t>
      </w:r>
    </w:p>
    <w:p w:rsidR="003327B0" w:rsidRPr="00804175" w:rsidRDefault="003327B0" w:rsidP="003327B0">
      <w:pPr>
        <w:pStyle w:val="NormalWeb"/>
        <w:numPr>
          <w:ilvl w:val="0"/>
          <w:numId w:val="42"/>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sidRPr="00804175">
        <w:rPr>
          <w:b/>
          <w:color w:val="000000"/>
        </w:rPr>
        <w:t>Rs 3.03 Lakh Cr for Reform Based Result Linked Power Distribution Scheme</w:t>
      </w:r>
    </w:p>
    <w:p w:rsidR="003327B0" w:rsidRPr="00804175" w:rsidRDefault="003327B0" w:rsidP="003327B0">
      <w:pPr>
        <w:pStyle w:val="NormalWeb"/>
        <w:numPr>
          <w:ilvl w:val="0"/>
          <w:numId w:val="43"/>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3327B0" w:rsidRPr="00E73A66" w:rsidRDefault="003327B0" w:rsidP="003327B0">
      <w:pPr>
        <w:pStyle w:val="NormalWeb"/>
        <w:numPr>
          <w:ilvl w:val="0"/>
          <w:numId w:val="43"/>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3327B0" w:rsidRPr="00804175" w:rsidRDefault="003327B0" w:rsidP="003327B0">
      <w:pPr>
        <w:pStyle w:val="NormalWeb"/>
        <w:numPr>
          <w:ilvl w:val="0"/>
          <w:numId w:val="43"/>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3327B0" w:rsidRDefault="003327B0" w:rsidP="003327B0">
      <w:pPr>
        <w:pStyle w:val="NormalWeb"/>
        <w:numPr>
          <w:ilvl w:val="0"/>
          <w:numId w:val="43"/>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3327B0" w:rsidRPr="00804175" w:rsidRDefault="003327B0" w:rsidP="003327B0">
      <w:pPr>
        <w:pStyle w:val="NormalWeb"/>
        <w:numPr>
          <w:ilvl w:val="0"/>
          <w:numId w:val="43"/>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3327B0" w:rsidRPr="00E73A66" w:rsidRDefault="003327B0" w:rsidP="003327B0">
      <w:pPr>
        <w:pStyle w:val="NormalWeb"/>
        <w:numPr>
          <w:ilvl w:val="0"/>
          <w:numId w:val="43"/>
        </w:numPr>
        <w:shd w:val="clear" w:color="auto" w:fill="FFFFFF"/>
        <w:spacing w:before="0" w:beforeAutospacing="0" w:after="0" w:afterAutospacing="0"/>
        <w:jc w:val="both"/>
        <w:rPr>
          <w:color w:val="000000"/>
        </w:rPr>
      </w:pPr>
      <w:r w:rsidRPr="00E73A66">
        <w:rPr>
          <w:color w:val="000000"/>
        </w:rPr>
        <w:t>Total allocation- Rs.3,03,058 Cr, Central share- Rs.</w:t>
      </w:r>
      <w:r>
        <w:rPr>
          <w:color w:val="000000"/>
        </w:rPr>
        <w:t xml:space="preserve"> </w:t>
      </w:r>
      <w:r w:rsidRPr="00E73A66">
        <w:rPr>
          <w:color w:val="000000"/>
        </w:rPr>
        <w:t>97,631 cr</w:t>
      </w:r>
    </w:p>
    <w:p w:rsidR="003327B0" w:rsidRPr="00804175" w:rsidRDefault="003327B0" w:rsidP="003327B0">
      <w:pPr>
        <w:pStyle w:val="NormalWeb"/>
        <w:numPr>
          <w:ilvl w:val="0"/>
          <w:numId w:val="43"/>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(Rs</w:t>
      </w:r>
      <w:r>
        <w:rPr>
          <w:color w:val="000000"/>
        </w:rPr>
        <w:t>.</w:t>
      </w:r>
      <w:r w:rsidRPr="00804175">
        <w:rPr>
          <w:color w:val="000000"/>
        </w:rPr>
        <w:t xml:space="preserve"> 1,05,864 Cr for 2021-22) subject to carrying out specified power sector reforms</w:t>
      </w:r>
    </w:p>
    <w:p w:rsidR="003327B0" w:rsidRDefault="003327B0" w:rsidP="003327B0">
      <w:pPr>
        <w:pStyle w:val="NormalWeb"/>
        <w:shd w:val="clear" w:color="auto" w:fill="FFFFFF"/>
        <w:spacing w:before="0" w:beforeAutospacing="0" w:after="0" w:afterAutospacing="0"/>
        <w:jc w:val="both"/>
        <w:rPr>
          <w:color w:val="000000"/>
        </w:rPr>
      </w:pPr>
    </w:p>
    <w:p w:rsidR="003327B0" w:rsidRPr="00804175" w:rsidRDefault="003327B0" w:rsidP="003327B0">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3327B0" w:rsidRPr="00804175" w:rsidRDefault="003327B0" w:rsidP="003327B0">
      <w:pPr>
        <w:pStyle w:val="NormalWeb"/>
        <w:numPr>
          <w:ilvl w:val="0"/>
          <w:numId w:val="44"/>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3327B0" w:rsidRPr="00804175" w:rsidRDefault="003327B0" w:rsidP="003327B0">
      <w:pPr>
        <w:pStyle w:val="NormalWeb"/>
        <w:numPr>
          <w:ilvl w:val="0"/>
          <w:numId w:val="44"/>
        </w:numPr>
        <w:shd w:val="clear" w:color="auto" w:fill="FFFFFF"/>
        <w:spacing w:before="0" w:beforeAutospacing="0" w:after="0" w:afterAutospacing="0"/>
        <w:jc w:val="both"/>
        <w:rPr>
          <w:color w:val="000000"/>
        </w:rPr>
      </w:pPr>
      <w:r w:rsidRPr="00804175">
        <w:rPr>
          <w:color w:val="000000"/>
        </w:rPr>
        <w:t>New policy will be formulated for appraisal and approval of PPP proposals and monetization of core infrastructure assets, including through InvITs</w:t>
      </w:r>
    </w:p>
    <w:p w:rsidR="003327B0" w:rsidRDefault="003327B0" w:rsidP="003327B0">
      <w:pPr>
        <w:pStyle w:val="NormalWeb"/>
        <w:numPr>
          <w:ilvl w:val="0"/>
          <w:numId w:val="44"/>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3327B0" w:rsidRDefault="003327B0" w:rsidP="003327B0">
      <w:pPr>
        <w:pStyle w:val="NormalWeb"/>
        <w:pBdr>
          <w:bottom w:val="single" w:sz="12" w:space="1" w:color="auto"/>
        </w:pBdr>
        <w:shd w:val="clear" w:color="auto" w:fill="FFFFFF"/>
        <w:spacing w:before="0" w:beforeAutospacing="0" w:after="0" w:afterAutospacing="0"/>
        <w:ind w:left="360"/>
        <w:jc w:val="both"/>
        <w:rPr>
          <w:color w:val="000000"/>
        </w:rPr>
      </w:pPr>
    </w:p>
    <w:p w:rsidR="003327B0" w:rsidRDefault="003327B0" w:rsidP="00BF2475">
      <w:pPr>
        <w:pStyle w:val="head"/>
        <w:shd w:val="clear" w:color="auto" w:fill="FFFFFF"/>
        <w:spacing w:before="0" w:beforeAutospacing="0" w:after="0" w:afterAutospacing="0"/>
        <w:jc w:val="both"/>
        <w:rPr>
          <w:rFonts w:ascii="Calibri" w:hAnsi="Calibri" w:cs="Calibri"/>
          <w:b/>
          <w:color w:val="000000"/>
        </w:rPr>
      </w:pPr>
      <w:bookmarkStart w:id="0" w:name="_GoBack"/>
      <w:bookmarkEnd w:id="0"/>
    </w:p>
    <w:p w:rsidR="0003423E" w:rsidRDefault="003327B0" w:rsidP="00BF2475">
      <w:pPr>
        <w:pStyle w:val="head"/>
        <w:pBdr>
          <w:bottom w:val="single" w:sz="12" w:space="1" w:color="auto"/>
        </w:pBdr>
        <w:shd w:val="clear" w:color="auto" w:fill="FFFFFF"/>
        <w:spacing w:before="0" w:beforeAutospacing="0" w:after="0" w:afterAutospacing="0"/>
        <w:jc w:val="both"/>
        <w:rPr>
          <w:b/>
          <w:bCs/>
          <w:color w:val="1F4E79" w:themeColor="accent1" w:themeShade="80"/>
        </w:rPr>
      </w:pPr>
      <w:hyperlink r:id="rId146" w:history="1">
        <w:r w:rsidR="00C52D67" w:rsidRPr="00B24523">
          <w:rPr>
            <w:rStyle w:val="Hyperlink"/>
            <w:b/>
            <w:bCs/>
            <w14:textFill>
              <w14:solidFill>
                <w14:srgbClr w14:val="0000FF">
                  <w14:lumMod w14:val="50000"/>
                </w14:srgbClr>
              </w14:solidFill>
            </w14:textFill>
          </w:rPr>
          <w:t>https://static.pib.gov.in/WriteReadData/specificdocs/documents/2021/jun/doc202162821.pdf</w:t>
        </w:r>
      </w:hyperlink>
    </w:p>
    <w:p w:rsidR="00C52D67" w:rsidRPr="0003423E" w:rsidRDefault="00C52D67" w:rsidP="00BF2475">
      <w:pPr>
        <w:pStyle w:val="head"/>
        <w:shd w:val="clear" w:color="auto" w:fill="FFFFFF"/>
        <w:spacing w:before="0" w:beforeAutospacing="0" w:after="0" w:afterAutospacing="0"/>
        <w:jc w:val="both"/>
        <w:rPr>
          <w:b/>
          <w:bCs/>
          <w:color w:val="1F4E79" w:themeColor="accent1" w:themeShade="80"/>
        </w:rPr>
      </w:pPr>
    </w:p>
    <w:sectPr w:rsidR="00C52D67" w:rsidRPr="00034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39E"/>
    <w:multiLevelType w:val="hybridMultilevel"/>
    <w:tmpl w:val="5238B4B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631220AC">
      <w:numFmt w:val="bullet"/>
      <w:lvlText w:val="•"/>
      <w:lvlJc w:val="left"/>
      <w:pPr>
        <w:ind w:left="2340" w:hanging="360"/>
      </w:pPr>
      <w:rPr>
        <w:rFonts w:ascii="Times New Roman" w:eastAsia="Times New Roman" w:hAnsi="Times New Roman" w:cs="Times New Roman" w:hint="default"/>
      </w:rPr>
    </w:lvl>
    <w:lvl w:ilvl="3" w:tplc="DB2E1A50">
      <w:start w:val="904"/>
      <w:numFmt w:val="bullet"/>
      <w:lvlText w:val="–"/>
      <w:lvlJc w:val="left"/>
      <w:pPr>
        <w:ind w:left="2880" w:hanging="360"/>
      </w:pPr>
      <w:rPr>
        <w:rFonts w:ascii="Times New Roman" w:eastAsia="Times New Roman" w:hAnsi="Times New Roman" w:cs="Times New Roman"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0F6837"/>
    <w:multiLevelType w:val="hybridMultilevel"/>
    <w:tmpl w:val="8F9CD1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E1603B"/>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5056D1"/>
    <w:multiLevelType w:val="multilevel"/>
    <w:tmpl w:val="A378A7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E27400"/>
    <w:multiLevelType w:val="multilevel"/>
    <w:tmpl w:val="D53AD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A1DEA"/>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4CF170BA"/>
    <w:multiLevelType w:val="multilevel"/>
    <w:tmpl w:val="B9881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D324B4C"/>
    <w:multiLevelType w:val="hybridMultilevel"/>
    <w:tmpl w:val="A9746ED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CC07F5D"/>
    <w:multiLevelType w:val="hybridMultilevel"/>
    <w:tmpl w:val="BDDC49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684B69"/>
    <w:multiLevelType w:val="hybridMultilevel"/>
    <w:tmpl w:val="62083CF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DC3695"/>
    <w:multiLevelType w:val="multilevel"/>
    <w:tmpl w:val="5AF254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28A652E"/>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2C422C1"/>
    <w:multiLevelType w:val="multilevel"/>
    <w:tmpl w:val="A59CD3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0"/>
  </w:num>
  <w:num w:numId="4">
    <w:abstractNumId w:val="32"/>
  </w:num>
  <w:num w:numId="5">
    <w:abstractNumId w:val="22"/>
  </w:num>
  <w:num w:numId="6">
    <w:abstractNumId w:val="26"/>
  </w:num>
  <w:num w:numId="7">
    <w:abstractNumId w:val="24"/>
  </w:num>
  <w:num w:numId="8">
    <w:abstractNumId w:val="9"/>
  </w:num>
  <w:num w:numId="9">
    <w:abstractNumId w:val="37"/>
  </w:num>
  <w:num w:numId="10">
    <w:abstractNumId w:val="38"/>
  </w:num>
  <w:num w:numId="11">
    <w:abstractNumId w:val="19"/>
  </w:num>
  <w:num w:numId="12">
    <w:abstractNumId w:val="35"/>
  </w:num>
  <w:num w:numId="13">
    <w:abstractNumId w:val="31"/>
  </w:num>
  <w:num w:numId="14">
    <w:abstractNumId w:val="10"/>
  </w:num>
  <w:num w:numId="15">
    <w:abstractNumId w:val="42"/>
  </w:num>
  <w:num w:numId="16">
    <w:abstractNumId w:val="15"/>
  </w:num>
  <w:num w:numId="17">
    <w:abstractNumId w:val="23"/>
  </w:num>
  <w:num w:numId="18">
    <w:abstractNumId w:val="12"/>
  </w:num>
  <w:num w:numId="19">
    <w:abstractNumId w:val="5"/>
  </w:num>
  <w:num w:numId="20">
    <w:abstractNumId w:val="17"/>
  </w:num>
  <w:num w:numId="21">
    <w:abstractNumId w:val="40"/>
  </w:num>
  <w:num w:numId="22">
    <w:abstractNumId w:val="33"/>
  </w:num>
  <w:num w:numId="23">
    <w:abstractNumId w:val="41"/>
  </w:num>
  <w:num w:numId="24">
    <w:abstractNumId w:val="16"/>
  </w:num>
  <w:num w:numId="25">
    <w:abstractNumId w:val="14"/>
  </w:num>
  <w:num w:numId="26">
    <w:abstractNumId w:val="30"/>
  </w:num>
  <w:num w:numId="27">
    <w:abstractNumId w:val="11"/>
  </w:num>
  <w:num w:numId="28">
    <w:abstractNumId w:val="39"/>
  </w:num>
  <w:num w:numId="29">
    <w:abstractNumId w:val="21"/>
  </w:num>
  <w:num w:numId="30">
    <w:abstractNumId w:val="3"/>
  </w:num>
  <w:num w:numId="31">
    <w:abstractNumId w:val="25"/>
  </w:num>
  <w:num w:numId="32">
    <w:abstractNumId w:val="20"/>
  </w:num>
  <w:num w:numId="33">
    <w:abstractNumId w:val="34"/>
  </w:num>
  <w:num w:numId="34">
    <w:abstractNumId w:val="13"/>
  </w:num>
  <w:num w:numId="35">
    <w:abstractNumId w:val="36"/>
  </w:num>
  <w:num w:numId="36">
    <w:abstractNumId w:val="1"/>
  </w:num>
  <w:num w:numId="37">
    <w:abstractNumId w:val="6"/>
  </w:num>
  <w:num w:numId="38">
    <w:abstractNumId w:val="29"/>
  </w:num>
  <w:num w:numId="39">
    <w:abstractNumId w:val="43"/>
  </w:num>
  <w:num w:numId="40">
    <w:abstractNumId w:val="2"/>
  </w:num>
  <w:num w:numId="41">
    <w:abstractNumId w:val="8"/>
  </w:num>
  <w:num w:numId="42">
    <w:abstractNumId w:val="18"/>
  </w:num>
  <w:num w:numId="43">
    <w:abstractNumId w:val="28"/>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55"/>
    <w:rsid w:val="00030D73"/>
    <w:rsid w:val="0003423E"/>
    <w:rsid w:val="00063769"/>
    <w:rsid w:val="00066966"/>
    <w:rsid w:val="001734DD"/>
    <w:rsid w:val="00174F55"/>
    <w:rsid w:val="0019502A"/>
    <w:rsid w:val="001F7DE7"/>
    <w:rsid w:val="00285CAA"/>
    <w:rsid w:val="002B2A6D"/>
    <w:rsid w:val="002E576A"/>
    <w:rsid w:val="002F036D"/>
    <w:rsid w:val="003327B0"/>
    <w:rsid w:val="00372F67"/>
    <w:rsid w:val="00377129"/>
    <w:rsid w:val="003E1087"/>
    <w:rsid w:val="0041310C"/>
    <w:rsid w:val="00432068"/>
    <w:rsid w:val="004B5217"/>
    <w:rsid w:val="00521D2C"/>
    <w:rsid w:val="00702059"/>
    <w:rsid w:val="00731C1A"/>
    <w:rsid w:val="007A7858"/>
    <w:rsid w:val="00845B2D"/>
    <w:rsid w:val="00915DA7"/>
    <w:rsid w:val="0093041F"/>
    <w:rsid w:val="00A20D26"/>
    <w:rsid w:val="00A939C1"/>
    <w:rsid w:val="00A941B4"/>
    <w:rsid w:val="00A9777D"/>
    <w:rsid w:val="00B55063"/>
    <w:rsid w:val="00BB355D"/>
    <w:rsid w:val="00BD7F88"/>
    <w:rsid w:val="00BF2475"/>
    <w:rsid w:val="00BF6C68"/>
    <w:rsid w:val="00C26590"/>
    <w:rsid w:val="00C52D67"/>
    <w:rsid w:val="00C56537"/>
    <w:rsid w:val="00D428D5"/>
    <w:rsid w:val="00D57DA4"/>
    <w:rsid w:val="00D82BB9"/>
    <w:rsid w:val="00DE4650"/>
    <w:rsid w:val="00E42839"/>
    <w:rsid w:val="00E65C74"/>
    <w:rsid w:val="00E8441C"/>
    <w:rsid w:val="00E90ABC"/>
    <w:rsid w:val="00F602F8"/>
    <w:rsid w:val="00F6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F19E"/>
  <w15:chartTrackingRefBased/>
  <w15:docId w15:val="{4A35838A-42F1-418F-BA3B-5CD6EFB5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4D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1734DD"/>
    <w:rPr>
      <w:color w:val="0000FF"/>
      <w:u w:val="single"/>
    </w:rPr>
  </w:style>
  <w:style w:type="paragraph" w:customStyle="1" w:styleId="head">
    <w:name w:val="head"/>
    <w:basedOn w:val="Normal"/>
    <w:rsid w:val="001734D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1">
    <w:name w:val="head1"/>
    <w:basedOn w:val="DefaultParagraphFont"/>
    <w:rsid w:val="00D428D5"/>
  </w:style>
  <w:style w:type="character" w:styleId="Emphasis">
    <w:name w:val="Emphasis"/>
    <w:basedOn w:val="DefaultParagraphFont"/>
    <w:uiPriority w:val="20"/>
    <w:qFormat/>
    <w:rsid w:val="00BB355D"/>
    <w:rPr>
      <w:i/>
      <w:iCs/>
    </w:rPr>
  </w:style>
  <w:style w:type="paragraph" w:styleId="ListParagraph">
    <w:name w:val="List Paragraph"/>
    <w:basedOn w:val="Normal"/>
    <w:uiPriority w:val="34"/>
    <w:qFormat/>
    <w:rsid w:val="007A7858"/>
    <w:pPr>
      <w:ind w:left="720"/>
      <w:contextualSpacing/>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3187">
      <w:bodyDiv w:val="1"/>
      <w:marLeft w:val="0"/>
      <w:marRight w:val="0"/>
      <w:marTop w:val="0"/>
      <w:marBottom w:val="0"/>
      <w:divBdr>
        <w:top w:val="none" w:sz="0" w:space="0" w:color="auto"/>
        <w:left w:val="none" w:sz="0" w:space="0" w:color="auto"/>
        <w:bottom w:val="none" w:sz="0" w:space="0" w:color="auto"/>
        <w:right w:val="none" w:sz="0" w:space="0" w:color="auto"/>
      </w:divBdr>
    </w:div>
    <w:div w:id="850140721">
      <w:bodyDiv w:val="1"/>
      <w:marLeft w:val="0"/>
      <w:marRight w:val="0"/>
      <w:marTop w:val="0"/>
      <w:marBottom w:val="0"/>
      <w:divBdr>
        <w:top w:val="none" w:sz="0" w:space="0" w:color="auto"/>
        <w:left w:val="none" w:sz="0" w:space="0" w:color="auto"/>
        <w:bottom w:val="none" w:sz="0" w:space="0" w:color="auto"/>
        <w:right w:val="none" w:sz="0" w:space="0" w:color="auto"/>
      </w:divBdr>
    </w:div>
    <w:div w:id="1113212722">
      <w:bodyDiv w:val="1"/>
      <w:marLeft w:val="0"/>
      <w:marRight w:val="0"/>
      <w:marTop w:val="0"/>
      <w:marBottom w:val="0"/>
      <w:divBdr>
        <w:top w:val="none" w:sz="0" w:space="0" w:color="auto"/>
        <w:left w:val="none" w:sz="0" w:space="0" w:color="auto"/>
        <w:bottom w:val="none" w:sz="0" w:space="0" w:color="auto"/>
        <w:right w:val="none" w:sz="0" w:space="0" w:color="auto"/>
      </w:divBdr>
    </w:div>
    <w:div w:id="1247231028">
      <w:bodyDiv w:val="1"/>
      <w:marLeft w:val="0"/>
      <w:marRight w:val="0"/>
      <w:marTop w:val="0"/>
      <w:marBottom w:val="0"/>
      <w:divBdr>
        <w:top w:val="none" w:sz="0" w:space="0" w:color="auto"/>
        <w:left w:val="none" w:sz="0" w:space="0" w:color="auto"/>
        <w:bottom w:val="none" w:sz="0" w:space="0" w:color="auto"/>
        <w:right w:val="none" w:sz="0" w:space="0" w:color="auto"/>
      </w:divBdr>
    </w:div>
    <w:div w:id="1323043908">
      <w:bodyDiv w:val="1"/>
      <w:marLeft w:val="0"/>
      <w:marRight w:val="0"/>
      <w:marTop w:val="0"/>
      <w:marBottom w:val="0"/>
      <w:divBdr>
        <w:top w:val="none" w:sz="0" w:space="0" w:color="auto"/>
        <w:left w:val="none" w:sz="0" w:space="0" w:color="auto"/>
        <w:bottom w:val="none" w:sz="0" w:space="0" w:color="auto"/>
        <w:right w:val="none" w:sz="0" w:space="0" w:color="auto"/>
      </w:divBdr>
    </w:div>
    <w:div w:id="1371683909">
      <w:bodyDiv w:val="1"/>
      <w:marLeft w:val="0"/>
      <w:marRight w:val="0"/>
      <w:marTop w:val="0"/>
      <w:marBottom w:val="0"/>
      <w:divBdr>
        <w:top w:val="none" w:sz="0" w:space="0" w:color="auto"/>
        <w:left w:val="none" w:sz="0" w:space="0" w:color="auto"/>
        <w:bottom w:val="none" w:sz="0" w:space="0" w:color="auto"/>
        <w:right w:val="none" w:sz="0" w:space="0" w:color="auto"/>
      </w:divBdr>
    </w:div>
    <w:div w:id="1413506799">
      <w:bodyDiv w:val="1"/>
      <w:marLeft w:val="0"/>
      <w:marRight w:val="0"/>
      <w:marTop w:val="0"/>
      <w:marBottom w:val="0"/>
      <w:divBdr>
        <w:top w:val="none" w:sz="0" w:space="0" w:color="auto"/>
        <w:left w:val="none" w:sz="0" w:space="0" w:color="auto"/>
        <w:bottom w:val="none" w:sz="0" w:space="0" w:color="auto"/>
        <w:right w:val="none" w:sz="0" w:space="0" w:color="auto"/>
      </w:divBdr>
    </w:div>
    <w:div w:id="185114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BS_PressReleaseDisplay.aspx?prid=47226" TargetMode="External"/><Relationship Id="rId117" Type="http://schemas.openxmlformats.org/officeDocument/2006/relationships/hyperlink" Target="https://rbi.org.in/Scripts/BS_PressReleaseDisplay.aspx?prid=32614" TargetMode="External"/><Relationship Id="rId21" Type="http://schemas.openxmlformats.org/officeDocument/2006/relationships/hyperlink" Target="https://www.rbi.org.in/Scripts/NotificationUser.aspx?Id=3387&amp;Mode=0" TargetMode="External"/><Relationship Id="rId42" Type="http://schemas.openxmlformats.org/officeDocument/2006/relationships/hyperlink" Target="https://rbi.org.in/Scripts/NotificationUser.aspx?Id=11941&amp;Mode=0" TargetMode="External"/><Relationship Id="rId47" Type="http://schemas.openxmlformats.org/officeDocument/2006/relationships/hyperlink" Target="https://www.rbi.org.in/Scripts/NotificationUser.aspx?Id=11910&amp;Mode=0" TargetMode="External"/><Relationship Id="rId63" Type="http://schemas.openxmlformats.org/officeDocument/2006/relationships/hyperlink" Target="https://www.rbi.org.in/Scripts/NotificationUser.aspx?Id=12086&amp;Mode=0" TargetMode="External"/><Relationship Id="rId68" Type="http://schemas.openxmlformats.org/officeDocument/2006/relationships/hyperlink" Target="https://www.rbi.org.in/Scripts/NotificationUser.aspx?Id=12071&amp;Mode=0" TargetMode="External"/><Relationship Id="rId84" Type="http://schemas.openxmlformats.org/officeDocument/2006/relationships/hyperlink" Target="https://www.rbi.org.in/Scripts/NotificationUser.aspx?Id=12066&amp;Mode=0" TargetMode="External"/><Relationship Id="rId89" Type="http://schemas.openxmlformats.org/officeDocument/2006/relationships/hyperlink" Target="https://www.rbi.org.in/Scripts/BS_ViewMasDirections.aspx?id=11959" TargetMode="External"/><Relationship Id="rId112" Type="http://schemas.openxmlformats.org/officeDocument/2006/relationships/hyperlink" Target="https://rbi.org.in/Scripts/NotificationUser.aspx?Id=10495&amp;Mode=0" TargetMode="External"/><Relationship Id="rId133" Type="http://schemas.openxmlformats.org/officeDocument/2006/relationships/hyperlink" Target="https://www.rbi.org.in/Scripts/NotificationUser.aspx?Id=11841&amp;Mode=0" TargetMode="External"/><Relationship Id="rId138" Type="http://schemas.openxmlformats.org/officeDocument/2006/relationships/hyperlink" Target="https://www.rbi.org.in/Scripts/BS_PressReleaseDisplay.aspx?prid=50748" TargetMode="External"/><Relationship Id="rId16" Type="http://schemas.openxmlformats.org/officeDocument/2006/relationships/hyperlink" Target="https://rbi.org.in/Scripts/BS_ViewMasDirections.aspx?id=10567" TargetMode="External"/><Relationship Id="rId107" Type="http://schemas.openxmlformats.org/officeDocument/2006/relationships/hyperlink" Target="https://rbidocs.rbi.org.in/rdocs/content/pdfs/05MC01042021_A5.pdf" TargetMode="External"/><Relationship Id="rId11" Type="http://schemas.openxmlformats.org/officeDocument/2006/relationships/hyperlink" Target="https://www.rbi.org.in/Scripts/BS_ViewMasDirections.aspx?id=10586" TargetMode="External"/><Relationship Id="rId32" Type="http://schemas.openxmlformats.org/officeDocument/2006/relationships/hyperlink" Target="https://www.rbi.org.in/Scripts/BS_PressReleaseDisplay.aspx?prid=47408" TargetMode="External"/><Relationship Id="rId37" Type="http://schemas.openxmlformats.org/officeDocument/2006/relationships/hyperlink" Target="https://www.rbi.org.in/Scripts/NotificationUser.aspx?Id=12108&amp;Mode=0" TargetMode="External"/><Relationship Id="rId53" Type="http://schemas.openxmlformats.org/officeDocument/2006/relationships/hyperlink" Target="https://rbi.org.in/Scripts/NotificationUser.aspx?Id=11393&amp;Mode=0" TargetMode="External"/><Relationship Id="rId58" Type="http://schemas.openxmlformats.org/officeDocument/2006/relationships/hyperlink" Target="https://www.rbi.org.in/Scripts/NotificationUser.aspx?Id=11942&amp;Mode=0" TargetMode="External"/><Relationship Id="rId74" Type="http://schemas.openxmlformats.org/officeDocument/2006/relationships/hyperlink" Target="https://www.rbi.org.in/Scripts/NotificationUser.aspx?Id=12069&amp;Mode=0" TargetMode="External"/><Relationship Id="rId79" Type="http://schemas.openxmlformats.org/officeDocument/2006/relationships/hyperlink" Target="https://www.rbi.org.in/Scripts/NotificationUser.aspx?Id=8603&amp;Mode=0" TargetMode="External"/><Relationship Id="rId102" Type="http://schemas.openxmlformats.org/officeDocument/2006/relationships/hyperlink" Target="https://www.rbi.org.in/Scripts/NotificationUser.aspx?Id=12062&amp;Mode=0" TargetMode="External"/><Relationship Id="rId123" Type="http://schemas.openxmlformats.org/officeDocument/2006/relationships/hyperlink" Target="https://rbi.org.in/Scripts/NotificationUser.aspx?Id=12006&amp;Mode=0" TargetMode="External"/><Relationship Id="rId128" Type="http://schemas.openxmlformats.org/officeDocument/2006/relationships/hyperlink" Target="https://www.rbi.org.in/Scripts/NotificationUser.aspx?Id=12027&amp;Mode=0" TargetMode="External"/><Relationship Id="rId144" Type="http://schemas.openxmlformats.org/officeDocument/2006/relationships/hyperlink" Target="http://www.fatf-gafi.org/publications/high-risk-and-other-monitored-jurisdictions/documents/increased-monitoring-june-2021.html" TargetMode="External"/><Relationship Id="rId5" Type="http://schemas.openxmlformats.org/officeDocument/2006/relationships/hyperlink" Target="https://www.rbi.org.in/Scripts/NotificationUser.aspx?Id=11951&amp;Mode=0" TargetMode="External"/><Relationship Id="rId90" Type="http://schemas.openxmlformats.org/officeDocument/2006/relationships/hyperlink" Target="https://www.rbi.org.in/Scripts/NotificationUser.aspx?Id=12065&amp;Mode=0" TargetMode="External"/><Relationship Id="rId95" Type="http://schemas.openxmlformats.org/officeDocument/2006/relationships/hyperlink" Target="https://www.rbi.org.in/FinancialEducation/content/04SELFHELP20042018.pdf" TargetMode="External"/><Relationship Id="rId22" Type="http://schemas.openxmlformats.org/officeDocument/2006/relationships/hyperlink" Target="https://www.rbi.org.in/Scripts/NotificationUser.aspx?Id=8823&amp;Mode=0" TargetMode="External"/><Relationship Id="rId27" Type="http://schemas.openxmlformats.org/officeDocument/2006/relationships/hyperlink" Target="https://www.rbi.org.in/Scripts/BS_PressReleaseDisplay.aspx?prid=47225" TargetMode="External"/><Relationship Id="rId43" Type="http://schemas.openxmlformats.org/officeDocument/2006/relationships/hyperlink" Target="https://www.rbi.org.in/scripts/FS_Notification.aspx?Id=11243&amp;fn=2&amp;Mode=0" TargetMode="External"/><Relationship Id="rId48" Type="http://schemas.openxmlformats.org/officeDocument/2006/relationships/hyperlink" Target="https://www.rbi.org.in/Scripts/NotificationUser.aspx?Id=12095&amp;Mode=0" TargetMode="External"/><Relationship Id="rId64" Type="http://schemas.openxmlformats.org/officeDocument/2006/relationships/hyperlink" Target="https://www.rbi.org.in/Scripts/NotificationUser.aspx?Id=12085&amp;Mode=0" TargetMode="External"/><Relationship Id="rId69" Type="http://schemas.openxmlformats.org/officeDocument/2006/relationships/hyperlink" Target="https://www.rbi.org.in/Scripts/NotificationUser.aspx?Id=11828&amp;Mode=0" TargetMode="External"/><Relationship Id="rId113" Type="http://schemas.openxmlformats.org/officeDocument/2006/relationships/hyperlink" Target="https://rbi.org.in/Scripts/NotificationUser.aspx?Id=11405&amp;Mode=0" TargetMode="External"/><Relationship Id="rId118" Type="http://schemas.openxmlformats.org/officeDocument/2006/relationships/hyperlink" Target="https://www.rbi.org.in/Scripts/NotificationUser.aspx?Id=12061&amp;Mode=0" TargetMode="External"/><Relationship Id="rId134" Type="http://schemas.openxmlformats.org/officeDocument/2006/relationships/hyperlink" Target="https://www.rbi.org.in/Scripts/BS_PressReleaseDisplay.aspx?prid=51078" TargetMode="External"/><Relationship Id="rId139" Type="http://schemas.openxmlformats.org/officeDocument/2006/relationships/hyperlink" Target="https://www.rbi.org.in/Scripts/BS_PressReleaseDisplay.aspx?prid=50747" TargetMode="External"/><Relationship Id="rId80" Type="http://schemas.openxmlformats.org/officeDocument/2006/relationships/hyperlink" Target="https://www.rbi.org.in/" TargetMode="External"/><Relationship Id="rId85" Type="http://schemas.openxmlformats.org/officeDocument/2006/relationships/hyperlink" Target="https://www.rbi.org.in/Scripts/NotificationUser.aspx?Id=11612&amp;Mode=0" TargetMode="External"/><Relationship Id="rId3" Type="http://schemas.openxmlformats.org/officeDocument/2006/relationships/settings" Target="settings.xml"/><Relationship Id="rId12" Type="http://schemas.openxmlformats.org/officeDocument/2006/relationships/hyperlink" Target="https://www.rbi.org.in/Scripts/BS_ViewMasDirections.aspx?id=10585" TargetMode="External"/><Relationship Id="rId17" Type="http://schemas.openxmlformats.org/officeDocument/2006/relationships/hyperlink" Target="https://rbidocs.rbi.org.in/rdocs/content/pdfs/NBFCS24062021_A2.pdf" TargetMode="External"/><Relationship Id="rId25" Type="http://schemas.openxmlformats.org/officeDocument/2006/relationships/hyperlink" Target="https://www.rbi.org.in/Scripts/NotificationUser.aspx?Id=11686&amp;Mode=0" TargetMode="External"/><Relationship Id="rId33" Type="http://schemas.openxmlformats.org/officeDocument/2006/relationships/hyperlink" Target="https://www.rbi.org.in/Scripts/BS_PressReleaseDisplay.aspx?prid=32614" TargetMode="External"/><Relationship Id="rId38" Type="http://schemas.openxmlformats.org/officeDocument/2006/relationships/hyperlink" Target="https://www.rbi.org.in/Scripts/NotificationUser.aspx?Id=12086&amp;Mode=0" TargetMode="External"/><Relationship Id="rId46" Type="http://schemas.openxmlformats.org/officeDocument/2006/relationships/hyperlink" Target="https://www.rbi.org.in/Scripts/NotificationUser.aspx?Id=11822&amp;Mode=0" TargetMode="External"/><Relationship Id="rId59" Type="http://schemas.openxmlformats.org/officeDocument/2006/relationships/hyperlink" Target="https://www.rbi.org.in/Scripts/NotificationUser.aspx?Id=11942&amp;Mode=0" TargetMode="External"/><Relationship Id="rId67" Type="http://schemas.openxmlformats.org/officeDocument/2006/relationships/hyperlink" Target="https://www.rbi.org.in/Scripts/NotificationUser.aspx?Id=12081&amp;Mode=0" TargetMode="External"/><Relationship Id="rId103" Type="http://schemas.openxmlformats.org/officeDocument/2006/relationships/hyperlink" Target="https://www.rbi.org.in/Scripts/NotificationUser.aspx?Id=12062&amp;Mode=0" TargetMode="External"/><Relationship Id="rId108" Type="http://schemas.openxmlformats.org/officeDocument/2006/relationships/hyperlink" Target="https://www.rbi.org.in/Scripts/NotificationUser.aspx?Id=12062&amp;Mode=0" TargetMode="External"/><Relationship Id="rId116" Type="http://schemas.openxmlformats.org/officeDocument/2006/relationships/hyperlink" Target="https://rbi.org.in/Scripts/BS_PressReleaseDisplay.aspx?prid=32615" TargetMode="External"/><Relationship Id="rId124" Type="http://schemas.openxmlformats.org/officeDocument/2006/relationships/hyperlink" Target="https://www.rbi.org.in/Scripts/NotificationUser.aspx?Id=12061&amp;Mode=0" TargetMode="External"/><Relationship Id="rId129" Type="http://schemas.openxmlformats.org/officeDocument/2006/relationships/hyperlink" Target="https://www.rbi.org.in/Scripts/NotificationUser.aspx?Id=11838&amp;Mode=0" TargetMode="External"/><Relationship Id="rId137" Type="http://schemas.openxmlformats.org/officeDocument/2006/relationships/hyperlink" Target="https://www.rbi.org.in/Scripts/NotificationUser.aspx?Id=12019&amp;Mode=0" TargetMode="External"/><Relationship Id="rId20" Type="http://schemas.openxmlformats.org/officeDocument/2006/relationships/hyperlink" Target="https://www.rbi.org.in/Scripts/NotificationUser.aspx?Id=2499&amp;Mode=0" TargetMode="External"/><Relationship Id="rId41" Type="http://schemas.openxmlformats.org/officeDocument/2006/relationships/hyperlink" Target="https://www.rbi.org.in/Scripts/NotificationUser.aspx?Id=11445&amp;Mode=0" TargetMode="External"/><Relationship Id="rId54" Type="http://schemas.openxmlformats.org/officeDocument/2006/relationships/hyperlink" Target="https://rbi.org.in/Scripts/BS_ViewMasDirections.aspx?id=11142" TargetMode="External"/><Relationship Id="rId62" Type="http://schemas.openxmlformats.org/officeDocument/2006/relationships/hyperlink" Target="https://www.rbi.org.in/Scripts/NotificationUser.aspx?Id=11942&amp;Mode=0" TargetMode="External"/><Relationship Id="rId70" Type="http://schemas.openxmlformats.org/officeDocument/2006/relationships/hyperlink" Target="https://rbi.org.in/Scripts/BS_PressReleaseDisplay.aspx?prid=51382" TargetMode="External"/><Relationship Id="rId75" Type="http://schemas.openxmlformats.org/officeDocument/2006/relationships/hyperlink" Target="https://www.rbi.org.in/Scripts/BS_ViewMasCirculardetails.aspx?id=11615" TargetMode="External"/><Relationship Id="rId83" Type="http://schemas.openxmlformats.org/officeDocument/2006/relationships/hyperlink" Target="mailto:nulmfidd@rbi.org.in" TargetMode="External"/><Relationship Id="rId88" Type="http://schemas.openxmlformats.org/officeDocument/2006/relationships/hyperlink" Target="https://www.rbi.org.in/Scripts/NotificationUser.aspx?Id=9722&amp;Mode=0" TargetMode="External"/><Relationship Id="rId91" Type="http://schemas.openxmlformats.org/officeDocument/2006/relationships/hyperlink" Target="https://rbi.org.in/Scripts/BS_ViewMasDirections.aspx?id=11566" TargetMode="External"/><Relationship Id="rId96" Type="http://schemas.openxmlformats.org/officeDocument/2006/relationships/hyperlink" Target="https://rbidocs.rbi.org.in/rdocs/content/pdfs/SHGLPR210515_AN.pdf" TargetMode="External"/><Relationship Id="rId111" Type="http://schemas.openxmlformats.org/officeDocument/2006/relationships/hyperlink" Target="https://www.rbi.org.in/Scripts/NotificationUser.aspx?Id=12061&amp;Mode=0" TargetMode="External"/><Relationship Id="rId132" Type="http://schemas.openxmlformats.org/officeDocument/2006/relationships/hyperlink" Target="https://www.rbi.org.in/Scripts/BS_PressReleaseDisplay.aspx?prid=51078" TargetMode="External"/><Relationship Id="rId140" Type="http://schemas.openxmlformats.org/officeDocument/2006/relationships/hyperlink" Target="https://www.rbi.org.in/Scripts/NotificationUser.aspx?Id=12017&amp;Mode=0" TargetMode="External"/><Relationship Id="rId145" Type="http://schemas.openxmlformats.org/officeDocument/2006/relationships/hyperlink" Target="http://www.fatf-gafi.org/publications/high-risk-and-other-monitored-jurisdictions/documents/call-for-action-june-2021.html" TargetMode="External"/><Relationship Id="rId1" Type="http://schemas.openxmlformats.org/officeDocument/2006/relationships/numbering" Target="numbering.xml"/><Relationship Id="rId6" Type="http://schemas.openxmlformats.org/officeDocument/2006/relationships/hyperlink" Target="https://rbidocs.rbi.org.in/rdocs/content/pdfs/MoMSME16062021.pdf" TargetMode="External"/><Relationship Id="rId15" Type="http://schemas.openxmlformats.org/officeDocument/2006/relationships/hyperlink" Target="https://www.rbi.org.in/Scripts/NotificationUser.aspx?Id=12118&amp;Mode=0" TargetMode="External"/><Relationship Id="rId23" Type="http://schemas.openxmlformats.org/officeDocument/2006/relationships/hyperlink" Target="https://rbi.org.in/Scripts/BS_ViewMasDirections.aspx?id=10084" TargetMode="External"/><Relationship Id="rId28" Type="http://schemas.openxmlformats.org/officeDocument/2006/relationships/hyperlink" Target="https://www.rbi.org.in/Scripts/BS_PressReleaseDisplay.aspx?prid=51684" TargetMode="External"/><Relationship Id="rId36" Type="http://schemas.openxmlformats.org/officeDocument/2006/relationships/hyperlink" Target="https://www.rbi.org.in/Scripts/BS_ViewMasDirections.aspx?id=10495" TargetMode="External"/><Relationship Id="rId49" Type="http://schemas.openxmlformats.org/officeDocument/2006/relationships/hyperlink" Target="https://www.rbi.org.in/Scripts/NotificationUser.aspx?Id=12050&amp;Mode=0" TargetMode="External"/><Relationship Id="rId57" Type="http://schemas.openxmlformats.org/officeDocument/2006/relationships/hyperlink" Target="https://www.rbi.org.in/Scripts/NotificationUser.aspx?Id=12094&amp;Mode=0" TargetMode="External"/><Relationship Id="rId106" Type="http://schemas.openxmlformats.org/officeDocument/2006/relationships/hyperlink" Target="https://rbidocs.rbi.org.in/rdocs/content/pdfs/05MC01042021_A4.pdf" TargetMode="External"/><Relationship Id="rId114" Type="http://schemas.openxmlformats.org/officeDocument/2006/relationships/hyperlink" Target="https://rbi.org.in/Scripts/NotificationUser.aspx?Id=12006&amp;Mode=0" TargetMode="External"/><Relationship Id="rId119" Type="http://schemas.openxmlformats.org/officeDocument/2006/relationships/hyperlink" Target="mailto:reportfmd@rbi.org.in" TargetMode="External"/><Relationship Id="rId127" Type="http://schemas.openxmlformats.org/officeDocument/2006/relationships/hyperlink" Target="https://rbidocs.rbi.org.in/rdocs/content/pdfs/MD100017022021_A.pdf" TargetMode="External"/><Relationship Id="rId10" Type="http://schemas.openxmlformats.org/officeDocument/2006/relationships/hyperlink" Target="https://www.rbi.org.in/Scripts/NotificationUser.aspx?Id=12118&amp;Mode=0" TargetMode="External"/><Relationship Id="rId31" Type="http://schemas.openxmlformats.org/officeDocument/2006/relationships/hyperlink" Target="https://www.rbi.org.in/Scripts/BS_ViewMasDirections.aspx?id=10495" TargetMode="External"/><Relationship Id="rId44" Type="http://schemas.openxmlformats.org/officeDocument/2006/relationships/hyperlink" Target="https://www.rbi.org.in/Scripts/BS_ViewMasDirections.aspx?id=11142" TargetMode="External"/><Relationship Id="rId52" Type="http://schemas.openxmlformats.org/officeDocument/2006/relationships/hyperlink" Target="https://rbi.org.in/Scripts/BS_ViewMasDirections.aspx?id=11142" TargetMode="External"/><Relationship Id="rId60" Type="http://schemas.openxmlformats.org/officeDocument/2006/relationships/hyperlink" Target="https://www.rbi.org.in/Scripts/NotificationUser.aspx?Id=11808&amp;Mode=0" TargetMode="External"/><Relationship Id="rId65" Type="http://schemas.openxmlformats.org/officeDocument/2006/relationships/hyperlink" Target="https://www.rbi.org.in/Scripts/BS_PressReleaseDisplay.aspx?prid=51078" TargetMode="External"/><Relationship Id="rId73" Type="http://schemas.openxmlformats.org/officeDocument/2006/relationships/hyperlink" Target="https://www.rbi.org.in/Scripts/BS_ViewMasDirections.aspx?id=11959" TargetMode="External"/><Relationship Id="rId78" Type="http://schemas.openxmlformats.org/officeDocument/2006/relationships/hyperlink" Target="https://www.rbi.org.in/Scripts/BS_ViewMasCirculardetails.aspx?id=12063" TargetMode="External"/><Relationship Id="rId81" Type="http://schemas.openxmlformats.org/officeDocument/2006/relationships/hyperlink" Target="https://rbidocs.rbi.org.in/rdocs/content/pdfs/MC12_05042021AN1.pdf" TargetMode="External"/><Relationship Id="rId86" Type="http://schemas.openxmlformats.org/officeDocument/2006/relationships/hyperlink" Target="https://www.rbi.org.in/Scripts/BS_ViewMasCirculardetails.aspx?id=12062" TargetMode="External"/><Relationship Id="rId94" Type="http://schemas.openxmlformats.org/officeDocument/2006/relationships/hyperlink" Target="https://www.rbi.org.in/Scripts/NotificationUser.aspx?Id=10869&amp;Mode=0" TargetMode="External"/><Relationship Id="rId99" Type="http://schemas.openxmlformats.org/officeDocument/2006/relationships/hyperlink" Target="https://www.rbi.org.in/Scripts/NotificationUser.aspx?Id=12063&amp;Mode=0" TargetMode="External"/><Relationship Id="rId101" Type="http://schemas.openxmlformats.org/officeDocument/2006/relationships/hyperlink" Target="https://www.rbi.org.in/Scripts/NotificationUser.aspx?Id=8075&amp;Mode=0" TargetMode="External"/><Relationship Id="rId122" Type="http://schemas.openxmlformats.org/officeDocument/2006/relationships/hyperlink" Target="https://rbi.org.in/Scripts/NotificationUser.aspx?Id=11405&amp;Mode=0" TargetMode="External"/><Relationship Id="rId130" Type="http://schemas.openxmlformats.org/officeDocument/2006/relationships/hyperlink" Target="https://www.rbi.org.in/Scripts/NotificationUser.aspx?Id=12004&amp;Mode=0" TargetMode="External"/><Relationship Id="rId135" Type="http://schemas.openxmlformats.org/officeDocument/2006/relationships/hyperlink" Target="https://www.rbi.org.in/Scripts/NotificationUser.aspx?Id=1204&amp;Mode=0" TargetMode="External"/><Relationship Id="rId143" Type="http://schemas.openxmlformats.org/officeDocument/2006/relationships/hyperlink" Target="https://rbidocs.rbi.org.in/rdocs/Publications/PDFs/PSSBOOKLET93D3AEFDEAF14044BC1BB36662C41A8C.PDF"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2120&amp;Mode=0" TargetMode="External"/><Relationship Id="rId13" Type="http://schemas.openxmlformats.org/officeDocument/2006/relationships/hyperlink" Target="https://rbidocs.rbi.org.in/rdocs/content/pdfs/NBFCS24062021_A1.pdf" TargetMode="External"/><Relationship Id="rId18" Type="http://schemas.openxmlformats.org/officeDocument/2006/relationships/hyperlink" Target="https://www.rbi.org.in/Scripts/NotificationUser.aspx?Id=7701&amp;Mode=0" TargetMode="External"/><Relationship Id="rId39" Type="http://schemas.openxmlformats.org/officeDocument/2006/relationships/hyperlink" Target="https://www.rbi.org.in/Scripts/NotificationUser.aspx?Id=11942&amp;Mode=0" TargetMode="External"/><Relationship Id="rId109" Type="http://schemas.openxmlformats.org/officeDocument/2006/relationships/hyperlink" Target="https://rbi.org.in/Scripts/BS_PressReleaseDisplay.aspx?prid=47226" TargetMode="External"/><Relationship Id="rId34" Type="http://schemas.openxmlformats.org/officeDocument/2006/relationships/hyperlink" Target="https://www.rbi.org.in/Scripts/BS_ViewMasCirculardetails.aspx?id=9874" TargetMode="External"/><Relationship Id="rId50" Type="http://schemas.openxmlformats.org/officeDocument/2006/relationships/hyperlink" Target="https://www.rbi.org.in/Scripts/NotificationUser.aspx?Id=11822&amp;Mode=0" TargetMode="External"/><Relationship Id="rId55" Type="http://schemas.openxmlformats.org/officeDocument/2006/relationships/hyperlink" Target="https://rbi.org.in/Scripts/NotificationUser.aspx?Id=10004&amp;Mode=0" TargetMode="External"/><Relationship Id="rId76" Type="http://schemas.openxmlformats.org/officeDocument/2006/relationships/hyperlink" Target="https://www.paisaportal.in/" TargetMode="External"/><Relationship Id="rId97" Type="http://schemas.openxmlformats.org/officeDocument/2006/relationships/hyperlink" Target="https://rbi.org.in/Scripts/NotificationUser.aspx?Id=10449&amp;Mode=0" TargetMode="External"/><Relationship Id="rId104" Type="http://schemas.openxmlformats.org/officeDocument/2006/relationships/hyperlink" Target="https://www.rbi.org.in/Scripts/NotificationUser.aspx?Id=12062&amp;Mode=0" TargetMode="External"/><Relationship Id="rId120" Type="http://schemas.openxmlformats.org/officeDocument/2006/relationships/hyperlink" Target="mailto:reportfmd@rbi.org.in" TargetMode="External"/><Relationship Id="rId125" Type="http://schemas.openxmlformats.org/officeDocument/2006/relationships/hyperlink" Target="https://www.rbi.org.in/Scripts/BS_ViewMasDirections.aspx?id=11566" TargetMode="External"/><Relationship Id="rId141" Type="http://schemas.openxmlformats.org/officeDocument/2006/relationships/hyperlink" Target="https://www.rbi.org.in/Scripts/NotificationUser.aspx?Id=12017&amp;Mode=0" TargetMode="External"/><Relationship Id="rId146" Type="http://schemas.openxmlformats.org/officeDocument/2006/relationships/hyperlink" Target="https://static.pib.gov.in/WriteReadData/specificdocs/documents/2021/jun/doc202162821.pdf" TargetMode="External"/><Relationship Id="rId7" Type="http://schemas.openxmlformats.org/officeDocument/2006/relationships/hyperlink" Target="https://rbidocs.rbi.org.in/rdocs/content/pdfs/IndianGazzate02072020.pdf" TargetMode="External"/><Relationship Id="rId71" Type="http://schemas.openxmlformats.org/officeDocument/2006/relationships/hyperlink" Target="https://www.rbi.org.in/Scripts/NotificationUser.aspx?Id=11659&amp;Mode=0" TargetMode="External"/><Relationship Id="rId92" Type="http://schemas.openxmlformats.org/officeDocument/2006/relationships/hyperlink" Target="https://rbi.org.in/Scripts/BS_ViewMasDirections.aspx?id=10295" TargetMode="External"/><Relationship Id="rId2" Type="http://schemas.openxmlformats.org/officeDocument/2006/relationships/styles" Target="styles.xml"/><Relationship Id="rId29" Type="http://schemas.openxmlformats.org/officeDocument/2006/relationships/hyperlink" Target="https://www.rbi.org.in/Scripts/BS_PressReleaseDisplay.aspx?prid=51683" TargetMode="External"/><Relationship Id="rId24" Type="http://schemas.openxmlformats.org/officeDocument/2006/relationships/hyperlink" Target="https://www.rbi.org.in/Scripts/NotificationUser.aspx?Id=9368&amp;Mode=0" TargetMode="External"/><Relationship Id="rId40" Type="http://schemas.openxmlformats.org/officeDocument/2006/relationships/hyperlink" Target="https://www.rbi.org.in/Scripts/NotificationUser.aspx?Id=11808&amp;Mode=0" TargetMode="External"/><Relationship Id="rId45" Type="http://schemas.openxmlformats.org/officeDocument/2006/relationships/hyperlink" Target="https://www.rbi.org.in/Scripts/NotificationUser.aspx?Id=11693&amp;Mode=0" TargetMode="External"/><Relationship Id="rId66" Type="http://schemas.openxmlformats.org/officeDocument/2006/relationships/hyperlink" Target="https://www.rbi.org.in/Scripts/BS_ViewMasCirculardetails.aspx?id=9905" TargetMode="External"/><Relationship Id="rId87" Type="http://schemas.openxmlformats.org/officeDocument/2006/relationships/hyperlink" Target="https://www.rbi.org.in/Scripts/BS_ViewMasCirculardetails.aspx?id=12066" TargetMode="External"/><Relationship Id="rId110" Type="http://schemas.openxmlformats.org/officeDocument/2006/relationships/hyperlink" Target="https://rbi.org.in/Scripts/BS_PressReleaseDisplay.aspx?prid=47225" TargetMode="External"/><Relationship Id="rId115" Type="http://schemas.openxmlformats.org/officeDocument/2006/relationships/hyperlink" Target="https://rbi.org.in/Scripts/NotificationUser.aspx?Id=11385&amp;Mode=0" TargetMode="External"/><Relationship Id="rId131" Type="http://schemas.openxmlformats.org/officeDocument/2006/relationships/hyperlink" Target="https://www.rbi.org.in/Scripts/BS_PressReleaseDisplay.aspx?prid=50427" TargetMode="External"/><Relationship Id="rId136" Type="http://schemas.openxmlformats.org/officeDocument/2006/relationships/hyperlink" Target="https://rbidocs.rbi.org.in/rdocs/content/pdfs/89NOT05022021_AN.pdf" TargetMode="External"/><Relationship Id="rId61" Type="http://schemas.openxmlformats.org/officeDocument/2006/relationships/hyperlink" Target="https://www.rbi.org.in/Scripts/NotificationUser.aspx?Id=11445&amp;Mode=0" TargetMode="External"/><Relationship Id="rId82" Type="http://schemas.openxmlformats.org/officeDocument/2006/relationships/hyperlink" Target="https://rbidocs.rbi.org.in/rdocs/content/pdfs/MC12_05042021AN2.pdf" TargetMode="External"/><Relationship Id="rId19" Type="http://schemas.openxmlformats.org/officeDocument/2006/relationships/hyperlink" Target="https://www.rbi.org.in/Scripts/NotificationUser.aspx?Id=11135&amp;Mode=0" TargetMode="External"/><Relationship Id="rId14" Type="http://schemas.openxmlformats.org/officeDocument/2006/relationships/hyperlink" Target="https://www.rbi.org.in/Scripts/NotificationUser.aspx?Id=12118&amp;Mode=0" TargetMode="External"/><Relationship Id="rId30" Type="http://schemas.openxmlformats.org/officeDocument/2006/relationships/hyperlink" Target="https://www.rbi.org.in/Scripts/BS_PressReleaseDisplay.aspx?prid=50761" TargetMode="External"/><Relationship Id="rId35" Type="http://schemas.openxmlformats.org/officeDocument/2006/relationships/hyperlink" Target="https://www.rbi.org.in/Scripts/NotificationUser.aspx?Id=12108&amp;Mode=0" TargetMode="External"/><Relationship Id="rId56" Type="http://schemas.openxmlformats.org/officeDocument/2006/relationships/hyperlink" Target="https://rbi.org.in/Scripts/BS_ViewMasDirections.aspx?id=11142" TargetMode="External"/><Relationship Id="rId77" Type="http://schemas.openxmlformats.org/officeDocument/2006/relationships/hyperlink" Target="https://www.rbi.org.in/Scripts/NotificationUser.aspx?Id=5657&amp;Mode=0" TargetMode="External"/><Relationship Id="rId100" Type="http://schemas.openxmlformats.org/officeDocument/2006/relationships/hyperlink" Target="https://www.rbi.org.in/Scripts/BS_ViewMasCirculardetails.aspx?id=11967" TargetMode="External"/><Relationship Id="rId105" Type="http://schemas.openxmlformats.org/officeDocument/2006/relationships/hyperlink" Target="https://www.rbi.org.in/Scripts/BS_ViewMasDirections.aspx?id=11566" TargetMode="External"/><Relationship Id="rId126" Type="http://schemas.openxmlformats.org/officeDocument/2006/relationships/hyperlink" Target="https://rbidocs.rbi.org.in/rdocs/content/pdfs/MD100017022021_A.pdf" TargetMode="External"/><Relationship Id="rId147" Type="http://schemas.openxmlformats.org/officeDocument/2006/relationships/fontTable" Target="fontTable.xml"/><Relationship Id="rId8" Type="http://schemas.openxmlformats.org/officeDocument/2006/relationships/hyperlink" Target="https://www.rbi.org.in/Scripts/NotificationUser.aspx?Id=11951&amp;Mode=0" TargetMode="External"/><Relationship Id="rId51" Type="http://schemas.openxmlformats.org/officeDocument/2006/relationships/hyperlink" Target="https://rbi.org.in/Scripts/BS_PressReleaseDisplay.aspx?prid=51382" TargetMode="External"/><Relationship Id="rId72" Type="http://schemas.openxmlformats.org/officeDocument/2006/relationships/hyperlink" Target="https://www.rbi.org.in/Scripts/NotificationUser.aspx?Id=11828&amp;Mode=0" TargetMode="External"/><Relationship Id="rId93" Type="http://schemas.openxmlformats.org/officeDocument/2006/relationships/hyperlink" Target="https://www.rbi.org.in/scripts/FS_Notification.aspx?Id=11959&amp;fn=2754&amp;Mode=0" TargetMode="External"/><Relationship Id="rId98" Type="http://schemas.openxmlformats.org/officeDocument/2006/relationships/hyperlink" Target="https://rbi.org.in/Scripts/NotificationUser.aspx?Id=10227&amp;Mode=0" TargetMode="External"/><Relationship Id="rId121" Type="http://schemas.openxmlformats.org/officeDocument/2006/relationships/hyperlink" Target="https://rbi.org.in/Scripts/NotificationUser.aspx?Id=10495&amp;Mode=0" TargetMode="External"/><Relationship Id="rId142" Type="http://schemas.openxmlformats.org/officeDocument/2006/relationships/hyperlink" Target="https://www.rbi.org.in/Scripts/OccasionalPublications.aspx?head=Payment%20Systems%20in%20India%20-%20Book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29508</Words>
  <Characters>168202</Characters>
  <Application>Microsoft Office Word</Application>
  <DocSecurity>0</DocSecurity>
  <Lines>1401</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Kar</dc:creator>
  <cp:keywords/>
  <dc:description/>
  <cp:lastModifiedBy>Pritam Kar</cp:lastModifiedBy>
  <cp:revision>4</cp:revision>
  <dcterms:created xsi:type="dcterms:W3CDTF">2021-07-17T15:03:00Z</dcterms:created>
  <dcterms:modified xsi:type="dcterms:W3CDTF">2021-07-18T04:08:00Z</dcterms:modified>
</cp:coreProperties>
</file>