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84" w:rsidRPr="00BC7781" w:rsidRDefault="00BC7781" w:rsidP="00F07DB8">
      <w:pPr>
        <w:pStyle w:val="NormalWeb"/>
        <w:shd w:val="clear" w:color="auto" w:fill="FFFFFF"/>
        <w:spacing w:before="0" w:beforeAutospacing="0" w:after="0" w:afterAutospacing="0"/>
        <w:jc w:val="center"/>
        <w:rPr>
          <w:b/>
          <w:bCs/>
          <w:color w:val="000000"/>
          <w:u w:val="single"/>
        </w:rPr>
      </w:pPr>
      <w:r w:rsidRPr="00BC7781">
        <w:rPr>
          <w:b/>
          <w:bCs/>
          <w:color w:val="000000"/>
          <w:u w:val="single"/>
        </w:rPr>
        <w:t>INTERNATIONAL TRADE FINANCE – RBI NOTIFICATIONS JAN TO JUNE 2021</w:t>
      </w:r>
    </w:p>
    <w:p w:rsidR="00F07DB8" w:rsidRDefault="00F07DB8" w:rsidP="00F07DB8">
      <w:pPr>
        <w:pStyle w:val="NormalWeb"/>
        <w:shd w:val="clear" w:color="auto" w:fill="FFFFFF"/>
        <w:spacing w:before="0" w:beforeAutospacing="0" w:after="0" w:afterAutospacing="0"/>
        <w:jc w:val="center"/>
        <w:rPr>
          <w:b/>
          <w:bCs/>
          <w:color w:val="000000"/>
        </w:rPr>
      </w:pPr>
    </w:p>
    <w:p w:rsidR="00155084" w:rsidRPr="00C760EA" w:rsidRDefault="00155084" w:rsidP="00155084">
      <w:pPr>
        <w:pStyle w:val="NormalWeb"/>
        <w:shd w:val="clear" w:color="auto" w:fill="FFFFFF"/>
        <w:spacing w:before="0" w:beforeAutospacing="0" w:after="0" w:afterAutospacing="0"/>
        <w:jc w:val="both"/>
        <w:rPr>
          <w:b/>
          <w:bCs/>
          <w:color w:val="000000"/>
        </w:rPr>
      </w:pPr>
      <w:r w:rsidRPr="00C760EA">
        <w:rPr>
          <w:b/>
          <w:bCs/>
          <w:color w:val="000000"/>
        </w:rPr>
        <w:t>Investment in Entities from FATF Non-Compliant Jurisdictions</w:t>
      </w:r>
    </w:p>
    <w:p w:rsidR="00155084" w:rsidRPr="00762028" w:rsidRDefault="00155084" w:rsidP="00155084">
      <w:pPr>
        <w:pStyle w:val="NormalWeb"/>
        <w:shd w:val="clear" w:color="auto" w:fill="FFFFFF"/>
        <w:spacing w:before="0" w:beforeAutospacing="0" w:after="0" w:afterAutospacing="0"/>
        <w:jc w:val="both"/>
        <w:rPr>
          <w:b/>
          <w:color w:val="000000"/>
        </w:rPr>
      </w:pPr>
    </w:p>
    <w:p w:rsidR="00155084" w:rsidRPr="00762028" w:rsidRDefault="00155084" w:rsidP="00155084">
      <w:pPr>
        <w:pStyle w:val="NormalWeb"/>
        <w:shd w:val="clear" w:color="auto" w:fill="FFFFFF"/>
        <w:spacing w:before="0" w:beforeAutospacing="0" w:after="0" w:afterAutospacing="0"/>
        <w:jc w:val="both"/>
        <w:rPr>
          <w:b/>
          <w:color w:val="000000"/>
        </w:rPr>
      </w:pPr>
      <w:proofErr w:type="gramStart"/>
      <w:r w:rsidRPr="00762028">
        <w:rPr>
          <w:b/>
          <w:color w:val="000000"/>
        </w:rPr>
        <w:t>RBI/2021-22/55CO.DPSS.AUTH.No.S</w:t>
      </w:r>
      <w:proofErr w:type="gramEnd"/>
      <w:r w:rsidRPr="00762028">
        <w:rPr>
          <w:b/>
          <w:color w:val="000000"/>
        </w:rPr>
        <w:t>190/02.27.005/2021-22</w:t>
      </w:r>
      <w:r w:rsidRPr="00762028">
        <w:rPr>
          <w:b/>
          <w:color w:val="000000"/>
        </w:rPr>
        <w:tab/>
      </w:r>
      <w:r w:rsidRPr="00762028">
        <w:rPr>
          <w:b/>
          <w:color w:val="000000"/>
        </w:rPr>
        <w:tab/>
        <w:t>June 14, 2021</w:t>
      </w:r>
    </w:p>
    <w:p w:rsidR="00155084" w:rsidRPr="00C760EA" w:rsidRDefault="00155084" w:rsidP="00155084">
      <w:pPr>
        <w:pStyle w:val="NormalWeb"/>
        <w:shd w:val="clear" w:color="auto" w:fill="FFFFFF"/>
        <w:spacing w:before="0" w:beforeAutospacing="0" w:after="0" w:afterAutospacing="0"/>
        <w:jc w:val="both"/>
        <w:rPr>
          <w:color w:val="000000"/>
        </w:rPr>
      </w:pPr>
    </w:p>
    <w:p w:rsidR="00155084" w:rsidRPr="00762028" w:rsidRDefault="00155084" w:rsidP="00155084">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155084" w:rsidRPr="00C760EA" w:rsidRDefault="00155084" w:rsidP="00155084">
      <w:pPr>
        <w:pStyle w:val="NormalWeb"/>
        <w:shd w:val="clear" w:color="auto" w:fill="FFFFFF"/>
        <w:spacing w:before="0" w:beforeAutospacing="0" w:after="0" w:afterAutospacing="0"/>
        <w:jc w:val="both"/>
        <w:rPr>
          <w:color w:val="000000"/>
        </w:rPr>
      </w:pPr>
    </w:p>
    <w:p w:rsidR="00155084" w:rsidRPr="00C760EA" w:rsidRDefault="00155084" w:rsidP="00155084">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155084" w:rsidRPr="00C760EA" w:rsidRDefault="00155084" w:rsidP="00155084">
      <w:pPr>
        <w:pStyle w:val="NormalWeb"/>
        <w:shd w:val="clear" w:color="auto" w:fill="FFFFFF"/>
        <w:spacing w:before="0" w:beforeAutospacing="0" w:after="0" w:afterAutospacing="0"/>
        <w:jc w:val="both"/>
        <w:rPr>
          <w:color w:val="000000"/>
        </w:rPr>
      </w:pPr>
    </w:p>
    <w:p w:rsidR="00155084" w:rsidRPr="00C760EA" w:rsidRDefault="00155084" w:rsidP="00155084">
      <w:pPr>
        <w:pStyle w:val="NormalWeb"/>
        <w:shd w:val="clear" w:color="auto" w:fill="FFFFFF"/>
        <w:spacing w:before="0" w:beforeAutospacing="0" w:after="0" w:afterAutospacing="0"/>
        <w:jc w:val="both"/>
        <w:rPr>
          <w:color w:val="000000"/>
        </w:rPr>
      </w:pPr>
      <w:r w:rsidRPr="00C760EA">
        <w:rPr>
          <w:color w:val="000000"/>
        </w:rPr>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155084" w:rsidRPr="00C760EA" w:rsidRDefault="00155084" w:rsidP="00155084">
      <w:pPr>
        <w:pStyle w:val="NormalWeb"/>
        <w:shd w:val="clear" w:color="auto" w:fill="FFFFFF"/>
        <w:spacing w:before="0" w:beforeAutospacing="0" w:after="0" w:afterAutospacing="0"/>
        <w:jc w:val="both"/>
        <w:rPr>
          <w:color w:val="000000"/>
        </w:rPr>
      </w:pPr>
    </w:p>
    <w:p w:rsidR="00155084" w:rsidRPr="00C760EA" w:rsidRDefault="00155084" w:rsidP="00155084">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155084" w:rsidRPr="00C760EA" w:rsidRDefault="00155084" w:rsidP="00155084">
      <w:pPr>
        <w:pStyle w:val="NormalWeb"/>
        <w:shd w:val="clear" w:color="auto" w:fill="FFFFFF"/>
        <w:spacing w:before="0" w:beforeAutospacing="0" w:after="0" w:afterAutospacing="0"/>
        <w:jc w:val="both"/>
        <w:rPr>
          <w:color w:val="000000"/>
        </w:rPr>
      </w:pPr>
    </w:p>
    <w:p w:rsidR="00155084" w:rsidRPr="00C760EA" w:rsidRDefault="00155084" w:rsidP="00155084">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155084" w:rsidRPr="00C760EA" w:rsidRDefault="00155084" w:rsidP="00155084">
      <w:pPr>
        <w:pStyle w:val="NormalWeb"/>
        <w:shd w:val="clear" w:color="auto" w:fill="FFFFFF"/>
        <w:spacing w:before="0" w:beforeAutospacing="0" w:after="0" w:afterAutospacing="0"/>
        <w:jc w:val="both"/>
        <w:rPr>
          <w:color w:val="000000"/>
        </w:rPr>
      </w:pPr>
    </w:p>
    <w:p w:rsidR="00155084" w:rsidRPr="00C760EA" w:rsidRDefault="00155084" w:rsidP="00155084">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155084" w:rsidRPr="00C760EA" w:rsidRDefault="00155084" w:rsidP="00155084">
      <w:pPr>
        <w:pStyle w:val="NormalWeb"/>
        <w:shd w:val="clear" w:color="auto" w:fill="FFFFFF"/>
        <w:spacing w:before="0" w:beforeAutospacing="0" w:after="0" w:afterAutospacing="0"/>
        <w:jc w:val="both"/>
        <w:rPr>
          <w:color w:val="000000"/>
        </w:rPr>
      </w:pPr>
    </w:p>
    <w:p w:rsidR="00155084" w:rsidRPr="00C760EA" w:rsidRDefault="00155084" w:rsidP="00155084">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155084" w:rsidRPr="00C760EA" w:rsidRDefault="00155084" w:rsidP="00155084">
      <w:pPr>
        <w:pStyle w:val="NormalWeb"/>
        <w:shd w:val="clear" w:color="auto" w:fill="FFFFFF"/>
        <w:spacing w:before="0" w:beforeAutospacing="0" w:after="0" w:afterAutospacing="0"/>
        <w:jc w:val="both"/>
        <w:rPr>
          <w:color w:val="000000"/>
        </w:rPr>
      </w:pPr>
    </w:p>
    <w:p w:rsidR="00155084" w:rsidRPr="00762028" w:rsidRDefault="00155084" w:rsidP="00155084">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per cent of the existing voting powers, and (ii) 20 per cent of existing and potential voting powers assuming those potential voting rights have materialised.</w:t>
      </w:r>
    </w:p>
    <w:p w:rsidR="00155084" w:rsidRDefault="00155084">
      <w:r>
        <w:br w:type="page"/>
      </w:r>
    </w:p>
    <w:p w:rsidR="00155084" w:rsidRDefault="00155084" w:rsidP="00F07D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ITF</w:t>
      </w:r>
    </w:p>
    <w:p w:rsidR="00F07DB8" w:rsidRDefault="00F07DB8" w:rsidP="00F07DB8">
      <w:pPr>
        <w:spacing w:after="0" w:line="240" w:lineRule="auto"/>
        <w:jc w:val="center"/>
        <w:rPr>
          <w:rFonts w:ascii="Times New Roman" w:hAnsi="Times New Roman" w:cs="Times New Roman"/>
          <w:b/>
          <w:sz w:val="24"/>
          <w:szCs w:val="24"/>
        </w:rPr>
      </w:pPr>
    </w:p>
    <w:p w:rsidR="00155084" w:rsidRPr="00BE0E8C" w:rsidRDefault="00155084" w:rsidP="00155084">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Risk Based Internal Audit (RBIA) Framework – Strengthening Governance arrangements</w:t>
      </w:r>
    </w:p>
    <w:p w:rsidR="00155084" w:rsidRPr="00BE0E8C" w:rsidRDefault="00155084" w:rsidP="00155084">
      <w:pPr>
        <w:spacing w:after="0" w:line="240" w:lineRule="auto"/>
        <w:jc w:val="both"/>
        <w:rPr>
          <w:rFonts w:ascii="Times New Roman" w:hAnsi="Times New Roman" w:cs="Times New Roman"/>
          <w:b/>
          <w:sz w:val="24"/>
          <w:szCs w:val="24"/>
        </w:rPr>
      </w:pPr>
    </w:p>
    <w:p w:rsidR="00155084" w:rsidRPr="00BE0E8C" w:rsidRDefault="00155084" w:rsidP="00155084">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RBI/2020-21/83 </w:t>
      </w:r>
      <w:proofErr w:type="spellStart"/>
      <w:proofErr w:type="gramStart"/>
      <w:r w:rsidRPr="00BE0E8C">
        <w:rPr>
          <w:rFonts w:ascii="Times New Roman" w:hAnsi="Times New Roman" w:cs="Times New Roman"/>
          <w:b/>
          <w:sz w:val="24"/>
          <w:szCs w:val="24"/>
        </w:rPr>
        <w:t>Ref.No.DoS.CO.PPG</w:t>
      </w:r>
      <w:proofErr w:type="spellEnd"/>
      <w:r w:rsidRPr="00BE0E8C">
        <w:rPr>
          <w:rFonts w:ascii="Times New Roman" w:hAnsi="Times New Roman" w:cs="Times New Roman"/>
          <w:b/>
          <w:sz w:val="24"/>
          <w:szCs w:val="24"/>
        </w:rPr>
        <w:t>./</w:t>
      </w:r>
      <w:proofErr w:type="gramEnd"/>
      <w:r w:rsidRPr="00BE0E8C">
        <w:rPr>
          <w:rFonts w:ascii="Times New Roman" w:hAnsi="Times New Roman" w:cs="Times New Roman"/>
          <w:b/>
          <w:sz w:val="24"/>
          <w:szCs w:val="24"/>
        </w:rPr>
        <w:t xml:space="preserve">SEC.04/11.01.005/2020-21 </w:t>
      </w:r>
      <w:r w:rsidRPr="00BE0E8C">
        <w:rPr>
          <w:rFonts w:ascii="Times New Roman" w:hAnsi="Times New Roman" w:cs="Times New Roman"/>
          <w:b/>
          <w:sz w:val="24"/>
          <w:szCs w:val="24"/>
        </w:rPr>
        <w:tab/>
        <w:t>January 07, 2021</w:t>
      </w:r>
    </w:p>
    <w:p w:rsidR="00155084" w:rsidRPr="00BE0E8C" w:rsidRDefault="00155084" w:rsidP="00155084">
      <w:pPr>
        <w:spacing w:after="0" w:line="240" w:lineRule="auto"/>
        <w:jc w:val="both"/>
        <w:rPr>
          <w:rFonts w:ascii="Times New Roman" w:hAnsi="Times New Roman" w:cs="Times New Roman"/>
          <w:sz w:val="24"/>
          <w:szCs w:val="24"/>
        </w:rPr>
      </w:pPr>
    </w:p>
    <w:p w:rsidR="00155084" w:rsidRPr="00BE0E8C" w:rsidRDefault="00155084" w:rsidP="00155084">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All Scheduled Commercial Banks (Excluding RRBs), All Local Area Banks, All Small Finance Banks and All Payments Banks</w:t>
      </w:r>
    </w:p>
    <w:p w:rsidR="00155084" w:rsidRPr="00BE0E8C" w:rsidRDefault="00155084" w:rsidP="00155084">
      <w:pPr>
        <w:spacing w:after="0" w:line="240" w:lineRule="auto"/>
        <w:jc w:val="both"/>
        <w:rPr>
          <w:rFonts w:ascii="Times New Roman" w:hAnsi="Times New Roman" w:cs="Times New Roman"/>
          <w:sz w:val="24"/>
          <w:szCs w:val="24"/>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terms of the Guidance Note on Risk-Based Internal Audit issued by RBI vide </w:t>
      </w:r>
      <w:hyperlink r:id="rId7"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banks, inter alia, are required to put in place a risk based internal audit (RBIA) system as part of their internal control framework that relies on a well-defined policy for internal audit, functional independence with sufficient standing and authority within the bank, effective channels of communication, adequate audit resources with sufficient professional competence, among others.</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While the aforesaid Guidance Note lays out the basic approach for risk based internal audit functions, banks are expected to re-orient their approach, in line with the evolving best practices, as a part of their overall Governance and Internal Control framework. Banks are encouraged to adopt the International Internal Audit standards, like those issued by the Basel Committee on Banking Supervision (BCBS) and the Institute of Internal Auditors (IIA).</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To bring uniformity in approach followed by the banks, as also to align the expectations on Internal Audit Function with the best practices, banks are advised as under:</w:t>
      </w:r>
    </w:p>
    <w:p w:rsidR="00155084" w:rsidRPr="00BE0E8C" w:rsidRDefault="00155084" w:rsidP="00155084">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Authority, Stature and Independence</w:t>
      </w:r>
      <w:r w:rsidRPr="00BE0E8C">
        <w:rPr>
          <w:rFonts w:ascii="Times New Roman" w:eastAsia="Times New Roman" w:hAnsi="Times New Roman" w:cs="Times New Roman"/>
          <w:color w:val="000000"/>
          <w:sz w:val="24"/>
          <w:szCs w:val="24"/>
          <w:lang w:eastAsia="en-IN"/>
        </w:rPr>
        <w:t> - The internal audit function must have sufficient authority, stature, independence and resources within the bank, thereby enabling internal auditors to carry out their assignments with objectivity. Accordingly, the Head of Internal Audit (HIA) shall be a senior executive of the bank who shall have the ability to exercise independent judgement. The HIA as well as the internal audit function shall have the authority to communicate with any staff member and have access to all records or files that are necessary to carry out the entrusted responsibilities.</w:t>
      </w:r>
    </w:p>
    <w:p w:rsidR="00155084" w:rsidRPr="00BE0E8C" w:rsidRDefault="00155084" w:rsidP="00155084">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Competence</w:t>
      </w:r>
      <w:r w:rsidRPr="00BE0E8C">
        <w:rPr>
          <w:rFonts w:ascii="Times New Roman" w:eastAsia="Times New Roman" w:hAnsi="Times New Roman" w:cs="Times New Roman"/>
          <w:color w:val="000000"/>
          <w:sz w:val="24"/>
          <w:szCs w:val="24"/>
          <w:lang w:eastAsia="en-IN"/>
        </w:rPr>
        <w:t> - Requisite professional competence, knowledge and experience of each internal auditor is essential for the effectiveness of the bank's internal audit function. The desired areas of knowledge and experience may include banking operations, accounting, information technology, data analytics and forensic investigation, among others. Banks should ensure that internal audit function has the requisite skills to audit all areas of the bank.</w:t>
      </w:r>
    </w:p>
    <w:p w:rsidR="00155084" w:rsidRPr="00BE0E8C" w:rsidRDefault="00155084" w:rsidP="00155084">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Staff Rotation</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Board should prescribe a minimum period of service for staff in the Internal Audit function. The Board may also examine the feasibility of prescribing at least one stint of service in the internal audit function for those staff possessing specialized knowledge useful for the audit function, but who are posted in other departments, so as to have adequate skills for the staff in the Internal Audit function.</w:t>
      </w:r>
    </w:p>
    <w:p w:rsidR="00155084" w:rsidRPr="00BE0E8C" w:rsidRDefault="00155084" w:rsidP="00155084">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Tenor for appointment of Head of Internal Audit</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HIA shall be appointed for a reasonably long period, preferably for a minimum of three years.</w:t>
      </w:r>
    </w:p>
    <w:p w:rsidR="00155084" w:rsidRPr="00BE0E8C" w:rsidRDefault="00155084" w:rsidP="00155084">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lastRenderedPageBreak/>
        <w:t>Reporting Line</w:t>
      </w:r>
      <w:r w:rsidRPr="00BE0E8C">
        <w:rPr>
          <w:rFonts w:ascii="Times New Roman" w:eastAsia="Times New Roman" w:hAnsi="Times New Roman" w:cs="Times New Roman"/>
          <w:color w:val="000000"/>
          <w:sz w:val="24"/>
          <w:szCs w:val="24"/>
          <w:lang w:eastAsia="en-IN"/>
        </w:rPr>
        <w:t> - The HIA shall directly report to either the Audit Committee of the Board (ACB) / MD &amp; CEO or Whole Time Director (WTD). Should the Board of Directors decide to allow the MD &amp; CEO or a WTD to be the ‘reporting authority’ of the HIA, then the ‘reviewing authority’ shall be with the ACB and the ‘accepting authority’ shall be with the Board in matters of performance appraisal of the HIA. Further, in such cases, the ACB shall meet the HIA at least once in a quarter, without the presence of the senior management, including the MD &amp; CEO/WTD. The HIA shall not have any reporting relationship with the business verticals of the bank and shall not be given any business targets. In foreign banks operating in India as branches, the HIA shall report to the internal audit function in the controlling office / head office.</w:t>
      </w:r>
    </w:p>
    <w:p w:rsidR="00155084" w:rsidRPr="00BE0E8C" w:rsidRDefault="00155084" w:rsidP="00155084">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Remuneration</w:t>
      </w:r>
      <w:r w:rsidRPr="00BE0E8C">
        <w:rPr>
          <w:rFonts w:ascii="Times New Roman" w:eastAsia="Times New Roman" w:hAnsi="Times New Roman" w:cs="Times New Roman"/>
          <w:color w:val="000000"/>
          <w:sz w:val="24"/>
          <w:szCs w:val="24"/>
          <w:lang w:eastAsia="en-IN"/>
        </w:rPr>
        <w:t> - The independence and objectivity of the internal audit function could be undermined if the remuneration of internal audit staff is linked to the financial performance of the business lines for which they exercise audit responsibilities. Thus, the remuneration policies should be structured in a way that it avoids creating conflict of interest and compromising audit’s independence and objectivity.</w:t>
      </w:r>
    </w:p>
    <w:p w:rsidR="00155084" w:rsidRPr="00BE0E8C" w:rsidRDefault="00155084" w:rsidP="00155084">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internal audit function shall not be outsourced. However, where required, experts, including former employees, could be hired on contractual basis subject to the ACB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Banks must ensure and demonstrate through proper documentation that their risk-based internal audit framework captures all the significant criteria / principles suited for their organisational structure, the business model and the risks.</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instructions contained in this circular shall come into effect immediately from the date of this circular.</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This circular supplement the guidelines issued by Reserve Bank of India on </w:t>
      </w:r>
      <w:hyperlink r:id="rId8" w:tgtFrame="_blank" w:history="1">
        <w:r w:rsidRPr="00BE0E8C">
          <w:rPr>
            <w:rFonts w:ascii="Times New Roman" w:eastAsia="Times New Roman" w:hAnsi="Times New Roman" w:cs="Times New Roman"/>
            <w:color w:val="0000FF"/>
            <w:sz w:val="24"/>
            <w:szCs w:val="24"/>
            <w:u w:val="single"/>
            <w:lang w:eastAsia="en-IN"/>
          </w:rPr>
          <w:t>December 27, 2002</w:t>
        </w:r>
      </w:hyperlink>
      <w:r w:rsidRPr="00BE0E8C">
        <w:rPr>
          <w:rFonts w:ascii="Times New Roman" w:eastAsia="Times New Roman" w:hAnsi="Times New Roman" w:cs="Times New Roman"/>
          <w:color w:val="000000"/>
          <w:sz w:val="24"/>
          <w:szCs w:val="24"/>
          <w:lang w:eastAsia="en-IN"/>
        </w:rPr>
        <w:t> on Risk-based internal audit along with other circulars/instruction on the subject issued from time-to time and for any common areas of guidance, the prescription of this circular shall be followed.</w:t>
      </w:r>
    </w:p>
    <w:p w:rsidR="00155084" w:rsidRDefault="00155084">
      <w:r>
        <w:br w:type="page"/>
      </w:r>
    </w:p>
    <w:p w:rsidR="00155084" w:rsidRDefault="00155084" w:rsidP="00155084">
      <w:pPr>
        <w:pStyle w:val="NormalWeb"/>
        <w:shd w:val="clear" w:color="auto" w:fill="FFFFFF"/>
        <w:spacing w:before="0" w:beforeAutospacing="0" w:after="0" w:afterAutospacing="0"/>
        <w:jc w:val="both"/>
        <w:rPr>
          <w:b/>
          <w:bCs/>
          <w:color w:val="000000"/>
        </w:rPr>
      </w:pPr>
    </w:p>
    <w:p w:rsidR="00155084" w:rsidRDefault="00155084" w:rsidP="00155084">
      <w:pPr>
        <w:pStyle w:val="NormalWeb"/>
        <w:shd w:val="clear" w:color="auto" w:fill="FFFFFF"/>
        <w:spacing w:before="0" w:beforeAutospacing="0" w:after="0" w:afterAutospacing="0"/>
        <w:jc w:val="both"/>
        <w:rPr>
          <w:b/>
          <w:bCs/>
          <w:color w:val="000000"/>
        </w:rPr>
      </w:pPr>
    </w:p>
    <w:p w:rsidR="00155084" w:rsidRDefault="00155084" w:rsidP="00F07DB8">
      <w:pPr>
        <w:pStyle w:val="NormalWeb"/>
        <w:shd w:val="clear" w:color="auto" w:fill="FFFFFF"/>
        <w:spacing w:before="0" w:beforeAutospacing="0" w:after="0" w:afterAutospacing="0"/>
        <w:jc w:val="center"/>
        <w:rPr>
          <w:b/>
          <w:bCs/>
          <w:color w:val="000000"/>
        </w:rPr>
      </w:pPr>
      <w:r>
        <w:rPr>
          <w:b/>
          <w:bCs/>
          <w:color w:val="000000"/>
        </w:rPr>
        <w:t>ITF</w:t>
      </w:r>
    </w:p>
    <w:p w:rsidR="00F07DB8" w:rsidRDefault="00F07DB8" w:rsidP="00F07DB8">
      <w:pPr>
        <w:pStyle w:val="NormalWeb"/>
        <w:shd w:val="clear" w:color="auto" w:fill="FFFFFF"/>
        <w:spacing w:before="0" w:beforeAutospacing="0" w:after="0" w:afterAutospacing="0"/>
        <w:jc w:val="center"/>
        <w:rPr>
          <w:b/>
          <w:bCs/>
          <w:color w:val="000000"/>
        </w:rPr>
      </w:pPr>
    </w:p>
    <w:p w:rsidR="00155084" w:rsidRPr="00BE0E8C" w:rsidRDefault="00155084" w:rsidP="00155084">
      <w:pPr>
        <w:pStyle w:val="NormalWeb"/>
        <w:shd w:val="clear" w:color="auto" w:fill="FFFFFF"/>
        <w:spacing w:before="0" w:beforeAutospacing="0" w:after="0" w:afterAutospacing="0"/>
        <w:jc w:val="both"/>
        <w:rPr>
          <w:b/>
          <w:bCs/>
          <w:color w:val="000000"/>
        </w:rPr>
      </w:pPr>
      <w:r w:rsidRPr="00BE0E8C">
        <w:rPr>
          <w:b/>
          <w:bCs/>
          <w:color w:val="000000"/>
        </w:rPr>
        <w:t>Interest Equalization Scheme on Pre and Post Shipment Rupee Export Credit- Extension</w:t>
      </w:r>
    </w:p>
    <w:p w:rsidR="00155084" w:rsidRPr="00BE0E8C" w:rsidRDefault="00155084" w:rsidP="00155084">
      <w:pPr>
        <w:pStyle w:val="NormalWeb"/>
        <w:shd w:val="clear" w:color="auto" w:fill="FFFFFF"/>
        <w:spacing w:before="0" w:beforeAutospacing="0" w:after="0" w:afterAutospacing="0"/>
        <w:jc w:val="both"/>
        <w:rPr>
          <w:b/>
          <w:bCs/>
          <w:color w:val="000000"/>
        </w:rPr>
      </w:pPr>
    </w:p>
    <w:p w:rsidR="00155084" w:rsidRPr="00BE0E8C" w:rsidRDefault="00155084" w:rsidP="00155084">
      <w:pPr>
        <w:pStyle w:val="NormalWeb"/>
        <w:shd w:val="clear" w:color="auto" w:fill="FFFFFF"/>
        <w:spacing w:before="0" w:beforeAutospacing="0" w:after="0" w:afterAutospacing="0"/>
        <w:jc w:val="both"/>
        <w:rPr>
          <w:b/>
          <w:color w:val="000000"/>
        </w:rPr>
      </w:pPr>
      <w:r w:rsidRPr="00BE0E8C">
        <w:rPr>
          <w:b/>
          <w:color w:val="000000"/>
        </w:rPr>
        <w:t xml:space="preserve">RBI/2021-22/21 DOR.CRE.REC.06/04.02.001/2021-22 </w:t>
      </w:r>
      <w:r w:rsidRPr="00BE0E8C">
        <w:rPr>
          <w:b/>
          <w:color w:val="000000"/>
        </w:rPr>
        <w:tab/>
      </w:r>
      <w:r w:rsidRPr="00BE0E8C">
        <w:rPr>
          <w:b/>
          <w:color w:val="000000"/>
        </w:rPr>
        <w:tab/>
        <w:t>April 12, 2021</w:t>
      </w:r>
    </w:p>
    <w:p w:rsidR="00155084" w:rsidRPr="00BE0E8C" w:rsidRDefault="00155084" w:rsidP="00155084">
      <w:pPr>
        <w:pStyle w:val="NormalWeb"/>
        <w:shd w:val="clear" w:color="auto" w:fill="FFFFFF"/>
        <w:spacing w:before="0" w:beforeAutospacing="0" w:after="0" w:afterAutospacing="0"/>
        <w:jc w:val="both"/>
        <w:rPr>
          <w:i/>
          <w:color w:val="000000"/>
          <w:shd w:val="clear" w:color="auto" w:fill="FFFFFF"/>
        </w:rPr>
      </w:pPr>
    </w:p>
    <w:p w:rsidR="00155084" w:rsidRPr="00BE0E8C" w:rsidRDefault="00155084" w:rsidP="00155084">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(excluding RRBs), Small Finance Banks, Primary (Urban) Cooperative Banks and EXIM Bank</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Please refer to the instructions issued vide </w:t>
      </w:r>
      <w:hyperlink r:id="rId9" w:tgtFrame="_blank" w:history="1">
        <w:r w:rsidRPr="00BE0E8C">
          <w:rPr>
            <w:rStyle w:val="Hyperlink"/>
          </w:rPr>
          <w:t>DBR.Dir.BC.No.69/04.02.001/2019-20 dated May 13, 2020</w:t>
        </w:r>
      </w:hyperlink>
      <w:r w:rsidRPr="00BE0E8C">
        <w:rPr>
          <w:color w:val="000000"/>
        </w:rPr>
        <w:t>.</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 xml:space="preserve">2. In this connection, Government of India has approved the extension of Interest Equalization Scheme for pre and post shipment Rupee export credit, with same scope and coverage, for three more months i.e., </w:t>
      </w:r>
      <w:proofErr w:type="spellStart"/>
      <w:r w:rsidRPr="00BE0E8C">
        <w:rPr>
          <w:color w:val="000000"/>
        </w:rPr>
        <w:t>upto</w:t>
      </w:r>
      <w:proofErr w:type="spellEnd"/>
      <w:r w:rsidRPr="00BE0E8C">
        <w:rPr>
          <w:color w:val="000000"/>
        </w:rPr>
        <w:t xml:space="preserve"> June 30, 2021. The extension takes effect from April 01, 2021 and ends on June 30, 2021 covering a period of three months.</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 xml:space="preserve">3. Consequently, the extant operational instructions issued by the Reserve Bank under the captioned Scheme shall continue to remain in force </w:t>
      </w:r>
      <w:proofErr w:type="spellStart"/>
      <w:r w:rsidRPr="00BE0E8C">
        <w:rPr>
          <w:color w:val="000000"/>
        </w:rPr>
        <w:t>upto</w:t>
      </w:r>
      <w:proofErr w:type="spellEnd"/>
      <w:r w:rsidRPr="00BE0E8C">
        <w:rPr>
          <w:color w:val="000000"/>
        </w:rPr>
        <w:t xml:space="preserve"> June 30, 2021.</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961F9D" w:rsidP="00155084">
      <w:pPr>
        <w:pStyle w:val="NormalWeb"/>
        <w:pBdr>
          <w:bottom w:val="single" w:sz="12" w:space="1" w:color="auto"/>
        </w:pBdr>
        <w:shd w:val="clear" w:color="auto" w:fill="FFFFFF"/>
        <w:spacing w:before="0" w:beforeAutospacing="0" w:after="0" w:afterAutospacing="0"/>
        <w:jc w:val="both"/>
        <w:rPr>
          <w:color w:val="000000"/>
        </w:rPr>
      </w:pPr>
      <w:hyperlink r:id="rId10" w:history="1">
        <w:r w:rsidR="00155084" w:rsidRPr="00BE0E8C">
          <w:rPr>
            <w:rStyle w:val="Hyperlink"/>
          </w:rPr>
          <w:t>https://www.rbi.org.in/Scripts/NotificationUser.aspx?Id=12075&amp;Mode=0</w:t>
        </w:r>
      </w:hyperlink>
    </w:p>
    <w:p w:rsidR="00A81C26" w:rsidRDefault="00961F9D"/>
    <w:p w:rsidR="00155084" w:rsidRDefault="00155084"/>
    <w:p w:rsidR="00155084" w:rsidRDefault="00155084"/>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F07DB8" w:rsidP="00F07DB8">
      <w:p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ITF</w:t>
      </w: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155084" w:rsidRPr="00BE0E8C" w:rsidRDefault="00155084" w:rsidP="00155084">
      <w:pPr>
        <w:shd w:val="clear" w:color="auto" w:fill="FFFFFF"/>
        <w:spacing w:after="0" w:line="240" w:lineRule="auto"/>
        <w:jc w:val="both"/>
        <w:rPr>
          <w:rFonts w:ascii="Times New Roman" w:hAnsi="Times New Roman" w:cs="Times New Roman"/>
          <w:i/>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Please refer to paragraph 12 of the Governor’s Statement on Developmental and Regulatory Policies dated April 07, 2021. In this connection, attention of Authorized Dealer Category-I (AD Category-I) banks is invited to paragraph 4.2 of the of Master Direction No.5 dated March 26, 2019, on “External Commercial Borrowings, Trade Credits and Structured Obligations”, in terms of which ECB borrowers are allowed to park ECB proceeds in term deposits with AD Category-I banks in India for a maximum period of 12 months cumulatively.</w:t>
      </w: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5. The directions contained in this circular have been issued under section 10(4) and 11(2) of the Foreign Exchange Management Act, 1999 (42 of 1999) and are without prejudice to permissions/ approvals, if any, required under any other law.</w:t>
      </w:r>
    </w:p>
    <w:p w:rsidR="00155084" w:rsidRDefault="00155084" w:rsidP="00155084">
      <w:pPr>
        <w:pStyle w:val="NormalWeb"/>
        <w:pBdr>
          <w:bottom w:val="single" w:sz="12" w:space="1" w:color="auto"/>
        </w:pBdr>
        <w:shd w:val="clear" w:color="auto" w:fill="FFFFFF"/>
        <w:spacing w:before="0" w:beforeAutospacing="0" w:after="0" w:afterAutospacing="0"/>
        <w:jc w:val="both"/>
      </w:pPr>
    </w:p>
    <w:p w:rsidR="00155084" w:rsidRPr="00BE0E8C" w:rsidRDefault="00961F9D" w:rsidP="00155084">
      <w:pPr>
        <w:pStyle w:val="NormalWeb"/>
        <w:pBdr>
          <w:bottom w:val="single" w:sz="12" w:space="1" w:color="auto"/>
        </w:pBdr>
        <w:shd w:val="clear" w:color="auto" w:fill="FFFFFF"/>
        <w:spacing w:before="0" w:beforeAutospacing="0" w:after="0" w:afterAutospacing="0"/>
        <w:jc w:val="both"/>
        <w:rPr>
          <w:color w:val="000000"/>
        </w:rPr>
      </w:pPr>
      <w:hyperlink r:id="rId11" w:history="1">
        <w:r w:rsidR="00155084" w:rsidRPr="00BE0E8C">
          <w:rPr>
            <w:rStyle w:val="Hyperlink"/>
          </w:rPr>
          <w:t>https://www.rbi.org.in/Scripts/NotificationUser.aspx?Id=12070&amp;Mode=0</w:t>
        </w:r>
      </w:hyperlink>
    </w:p>
    <w:p w:rsidR="00155084" w:rsidRDefault="00155084">
      <w:r>
        <w:br w:type="page"/>
      </w:r>
    </w:p>
    <w:p w:rsidR="00155084" w:rsidRDefault="00155084" w:rsidP="00F07DB8">
      <w:p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ITF</w:t>
      </w: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Bilateral Netting of Qualified Financial Contracts- Amendments to Prudential Guidelines</w:t>
      </w:r>
    </w:p>
    <w:p w:rsidR="00155084" w:rsidRPr="00BE0E8C"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RBI/2020-21/115 DOR.CAP.51/21.06.201/2020-21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30, 2021</w:t>
      </w:r>
    </w:p>
    <w:p w:rsidR="00155084" w:rsidRPr="00BE0E8C" w:rsidRDefault="00155084" w:rsidP="00155084">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155084" w:rsidRPr="00BE0E8C" w:rsidRDefault="00155084" w:rsidP="00155084">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3. Accordingly, select instructions contained in the following circulars have been modified/ amended appropriately:</w:t>
      </w:r>
    </w:p>
    <w:p w:rsidR="00155084" w:rsidRPr="00BE0E8C" w:rsidRDefault="00155084" w:rsidP="00155084">
      <w:pPr>
        <w:pStyle w:val="NormalWeb"/>
        <w:shd w:val="clear" w:color="auto" w:fill="FFFFFF"/>
        <w:spacing w:before="0" w:beforeAutospacing="0" w:after="0" w:afterAutospacing="0"/>
        <w:ind w:left="720"/>
        <w:jc w:val="both"/>
        <w:rPr>
          <w:color w:val="000000"/>
        </w:rPr>
      </w:pPr>
      <w:r w:rsidRPr="00BE0E8C">
        <w:rPr>
          <w:color w:val="000000"/>
        </w:rPr>
        <w:t>a) </w:t>
      </w:r>
      <w:hyperlink r:id="rId12" w:tgtFrame="_blank" w:history="1">
        <w:r w:rsidRPr="00BE0E8C">
          <w:rPr>
            <w:rStyle w:val="Hyperlink"/>
          </w:rPr>
          <w:t>Master Circular DBR.No.BP.BC.1/21.06.201/2015-16 dated July 1, 2015</w:t>
        </w:r>
      </w:hyperlink>
      <w:r w:rsidRPr="00BE0E8C">
        <w:rPr>
          <w:color w:val="000000"/>
        </w:rPr>
        <w:t> on ‘Basel III Capital Regulations’ as provided in </w:t>
      </w:r>
      <w:hyperlink r:id="rId13" w:tgtFrame="_blank" w:history="1">
        <w:r w:rsidRPr="00BE0E8C">
          <w:rPr>
            <w:rStyle w:val="Hyperlink"/>
          </w:rPr>
          <w:t>Annex 1</w:t>
        </w:r>
      </w:hyperlink>
      <w:r w:rsidRPr="00BE0E8C">
        <w:rPr>
          <w:color w:val="000000"/>
        </w:rPr>
        <w:t>;</w:t>
      </w:r>
    </w:p>
    <w:p w:rsidR="00155084" w:rsidRPr="00BE0E8C" w:rsidRDefault="00155084" w:rsidP="00155084">
      <w:pPr>
        <w:pStyle w:val="NormalWeb"/>
        <w:shd w:val="clear" w:color="auto" w:fill="FFFFFF"/>
        <w:spacing w:before="0" w:beforeAutospacing="0" w:after="0" w:afterAutospacing="0"/>
        <w:ind w:left="720"/>
        <w:jc w:val="both"/>
        <w:rPr>
          <w:color w:val="000000"/>
        </w:rPr>
      </w:pPr>
      <w:r w:rsidRPr="00BE0E8C">
        <w:rPr>
          <w:color w:val="000000"/>
        </w:rPr>
        <w:t>b) </w:t>
      </w:r>
      <w:hyperlink r:id="rId14" w:tgtFrame="_blank" w:history="1">
        <w:r w:rsidRPr="00BE0E8C">
          <w:rPr>
            <w:rStyle w:val="Hyperlink"/>
          </w:rPr>
          <w:t>Circular DBR.BP.BC.No.106/21.04.098/2017-18 dated May 17, 2018</w:t>
        </w:r>
      </w:hyperlink>
      <w:r w:rsidRPr="00BE0E8C">
        <w:rPr>
          <w:color w:val="000000"/>
        </w:rPr>
        <w:t> on ‘Basel III Framework on Liquidity Standards – Net Stable Funding Ratio (NSFR) – Final Guidelines’ as provided in </w:t>
      </w:r>
      <w:hyperlink r:id="rId15" w:tgtFrame="_blank" w:history="1">
        <w:r w:rsidRPr="00BE0E8C">
          <w:rPr>
            <w:rStyle w:val="Hyperlink"/>
          </w:rPr>
          <w:t>Annex 2</w:t>
        </w:r>
      </w:hyperlink>
      <w:r w:rsidRPr="00BE0E8C">
        <w:rPr>
          <w:color w:val="000000"/>
        </w:rPr>
        <w:t>;</w:t>
      </w:r>
    </w:p>
    <w:p w:rsidR="00155084" w:rsidRPr="00BE0E8C" w:rsidRDefault="00155084" w:rsidP="00155084">
      <w:pPr>
        <w:pStyle w:val="NormalWeb"/>
        <w:shd w:val="clear" w:color="auto" w:fill="FFFFFF"/>
        <w:spacing w:before="0" w:beforeAutospacing="0" w:after="0" w:afterAutospacing="0"/>
        <w:ind w:left="720"/>
        <w:jc w:val="both"/>
        <w:rPr>
          <w:color w:val="000000"/>
        </w:rPr>
      </w:pPr>
      <w:r w:rsidRPr="00BE0E8C">
        <w:rPr>
          <w:color w:val="000000"/>
        </w:rPr>
        <w:t>c) </w:t>
      </w:r>
      <w:hyperlink r:id="rId16" w:tgtFrame="_blank" w:history="1">
        <w:r w:rsidRPr="00BE0E8C">
          <w:rPr>
            <w:rStyle w:val="Hyperlink"/>
          </w:rPr>
          <w:t>Master Circular DBR.No.BP.BC.2/21.04.048/2015-16 dated July 1, 2015</w:t>
        </w:r>
      </w:hyperlink>
      <w:r w:rsidRPr="00BE0E8C">
        <w:rPr>
          <w:color w:val="000000"/>
        </w:rPr>
        <w:t> on ‘Prudential norms on Income Recognition, Asset Classification and Provisioning pertaining to Advances’ as provided in </w:t>
      </w:r>
      <w:hyperlink r:id="rId17" w:tgtFrame="_blank" w:history="1">
        <w:r w:rsidRPr="00BE0E8C">
          <w:rPr>
            <w:rStyle w:val="Hyperlink"/>
          </w:rPr>
          <w:t>Annex 3</w:t>
        </w:r>
      </w:hyperlink>
      <w:r w:rsidRPr="00BE0E8C">
        <w:rPr>
          <w:color w:val="000000"/>
        </w:rPr>
        <w:t>; and</w:t>
      </w:r>
    </w:p>
    <w:p w:rsidR="00155084" w:rsidRPr="00BE0E8C" w:rsidRDefault="00155084" w:rsidP="00155084">
      <w:pPr>
        <w:pStyle w:val="NormalWeb"/>
        <w:shd w:val="clear" w:color="auto" w:fill="FFFFFF"/>
        <w:spacing w:before="0" w:beforeAutospacing="0" w:after="0" w:afterAutospacing="0"/>
        <w:ind w:left="720"/>
        <w:jc w:val="both"/>
        <w:rPr>
          <w:color w:val="000000"/>
        </w:rPr>
      </w:pPr>
      <w:r w:rsidRPr="00BE0E8C">
        <w:rPr>
          <w:color w:val="000000"/>
        </w:rPr>
        <w:t>d) </w:t>
      </w:r>
      <w:hyperlink r:id="rId18" w:tgtFrame="_blank" w:history="1">
        <w:r w:rsidRPr="00BE0E8C">
          <w:rPr>
            <w:rStyle w:val="Hyperlink"/>
          </w:rPr>
          <w:t>Master Circular DBR.No.BP.BC.4./21.06.001/2015-16 dated July 1, 2015</w:t>
        </w:r>
      </w:hyperlink>
      <w:r w:rsidRPr="00BE0E8C">
        <w:rPr>
          <w:color w:val="000000"/>
        </w:rPr>
        <w:t> on Prudential Guidelines on Capital Adequacy and Market Discipline-New Capital Adequacy Framework (NCAF) as provided in </w:t>
      </w:r>
      <w:hyperlink r:id="rId19" w:tgtFrame="_blank" w:history="1">
        <w:r w:rsidRPr="00BE0E8C">
          <w:rPr>
            <w:rStyle w:val="Hyperlink"/>
          </w:rPr>
          <w:t>Annex 4</w:t>
        </w:r>
      </w:hyperlink>
      <w:r w:rsidRPr="00BE0E8C">
        <w:rPr>
          <w:color w:val="000000"/>
        </w:rPr>
        <w:t>.</w:t>
      </w: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The revised instructions come into force with immediate effect.</w:t>
      </w:r>
    </w:p>
    <w:p w:rsidR="00155084" w:rsidRDefault="00155084">
      <w:r>
        <w:br w:type="page"/>
      </w:r>
    </w:p>
    <w:p w:rsidR="00155084" w:rsidRDefault="00155084" w:rsidP="00F07DB8">
      <w:p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ITF</w:t>
      </w:r>
    </w:p>
    <w:p w:rsidR="00155084" w:rsidRDefault="00155084" w:rsidP="00155084">
      <w:pPr>
        <w:shd w:val="clear" w:color="auto" w:fill="FFFFFF"/>
        <w:spacing w:after="0" w:line="240" w:lineRule="auto"/>
        <w:jc w:val="both"/>
        <w:rPr>
          <w:rFonts w:ascii="Times New Roman" w:hAnsi="Times New Roman" w:cs="Times New Roman"/>
          <w:b/>
          <w:bCs/>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FETERS – Cards: Monthly Reporting</w:t>
      </w:r>
    </w:p>
    <w:p w:rsidR="00155084" w:rsidRPr="00BE0E8C"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RBI/2020-21/113 A.P. (DIR Series) Circular No.13</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155084" w:rsidRPr="00BE0E8C" w:rsidRDefault="00155084" w:rsidP="00155084">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Attention of Authorised Dealers (Category I) is invited to </w:t>
      </w:r>
      <w:hyperlink r:id="rId20" w:tgtFrame="_blank" w:history="1">
        <w:r w:rsidRPr="00BE0E8C">
          <w:rPr>
            <w:rStyle w:val="Hyperlink"/>
          </w:rPr>
          <w:t>A.P. (DIR Series) Circular No. 50 dated February 11, 2016</w:t>
        </w:r>
      </w:hyperlink>
      <w:r w:rsidRPr="00BE0E8C">
        <w:rPr>
          <w:color w:val="000000"/>
        </w:rPr>
        <w:t> on compilation of R-Returns for reporting under the Foreign Exchange Transactions Electronic Reporting System (FETERS). It has been decided to collect more details of international transactions using credit card / debit card / unified payment interface (UPI) along with their economic classification (merchant category code – MCC) through a new return called ‘FETERS-Cards’, using the same web-portal (</w:t>
      </w:r>
      <w:hyperlink r:id="rId21" w:tgtFrame="_blank" w:history="1">
        <w:r w:rsidRPr="00BE0E8C">
          <w:rPr>
            <w:rStyle w:val="Hyperlink"/>
          </w:rPr>
          <w:t>https://bop.rbi.org.in</w:t>
        </w:r>
      </w:hyperlink>
      <w:r w:rsidRPr="00BE0E8C">
        <w:rPr>
          <w:color w:val="000000"/>
        </w:rPr>
        <w:t>).</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2. Nodal offices of Authorised Dealers (ADs) may submit FETERS-Cards details on the web-portal in the following manner:</w:t>
      </w:r>
    </w:p>
    <w:p w:rsidR="00155084" w:rsidRPr="00BE0E8C" w:rsidRDefault="00155084" w:rsidP="00155084">
      <w:pPr>
        <w:pStyle w:val="NormalWeb"/>
        <w:shd w:val="clear" w:color="auto" w:fill="FFFFFF"/>
        <w:spacing w:before="0" w:beforeAutospacing="0" w:after="0" w:afterAutospacing="0"/>
        <w:ind w:firstLine="360"/>
        <w:jc w:val="both"/>
        <w:rPr>
          <w:color w:val="000000"/>
        </w:rPr>
      </w:pPr>
      <w:r w:rsidRPr="00BE0E8C">
        <w:rPr>
          <w:color w:val="000000"/>
        </w:rPr>
        <w:t>A. For transactions through credit card / debit card / UPI:</w:t>
      </w:r>
    </w:p>
    <w:p w:rsidR="00155084" w:rsidRPr="00BE0E8C" w:rsidRDefault="00155084" w:rsidP="00155084">
      <w:pPr>
        <w:pStyle w:val="NormalWeb"/>
        <w:numPr>
          <w:ilvl w:val="0"/>
          <w:numId w:val="2"/>
        </w:numPr>
        <w:shd w:val="clear" w:color="auto" w:fill="FFFFFF"/>
        <w:spacing w:before="0" w:beforeAutospacing="0" w:after="0" w:afterAutospacing="0"/>
        <w:jc w:val="both"/>
        <w:rPr>
          <w:color w:val="000000"/>
        </w:rPr>
      </w:pPr>
      <w:r w:rsidRPr="00BE0E8C">
        <w:rPr>
          <w:color w:val="000000"/>
        </w:rPr>
        <w:t>Sale of forex by AD towards international transaction made by Indian resident (to be reported by the card issuing / transaction originating AD); and</w:t>
      </w:r>
    </w:p>
    <w:p w:rsidR="00155084" w:rsidRPr="00BE0E8C" w:rsidRDefault="00155084" w:rsidP="00155084">
      <w:pPr>
        <w:pStyle w:val="NormalWeb"/>
        <w:numPr>
          <w:ilvl w:val="0"/>
          <w:numId w:val="2"/>
        </w:numPr>
        <w:shd w:val="clear" w:color="auto" w:fill="FFFFFF"/>
        <w:spacing w:before="0" w:beforeAutospacing="0" w:after="0" w:afterAutospacing="0"/>
        <w:jc w:val="both"/>
        <w:rPr>
          <w:color w:val="000000"/>
        </w:rPr>
      </w:pPr>
      <w:r w:rsidRPr="00BE0E8C">
        <w:rPr>
          <w:color w:val="000000"/>
        </w:rPr>
        <w:t>Purchase of forex by AD under transaction by foreign resident with Indian resident (to be reported by merchant acquirer AD).</w:t>
      </w:r>
    </w:p>
    <w:p w:rsidR="00155084" w:rsidRPr="00BE0E8C" w:rsidRDefault="00155084" w:rsidP="00155084">
      <w:pPr>
        <w:pStyle w:val="NormalWeb"/>
        <w:shd w:val="clear" w:color="auto" w:fill="FFFFFF"/>
        <w:spacing w:before="0" w:beforeAutospacing="0" w:after="0" w:afterAutospacing="0"/>
        <w:ind w:firstLine="360"/>
        <w:rPr>
          <w:color w:val="000000"/>
        </w:rPr>
      </w:pPr>
      <w:r w:rsidRPr="00BE0E8C">
        <w:rPr>
          <w:color w:val="000000"/>
        </w:rPr>
        <w:t>B. The information shall be submitted in the following fixed format (details given in </w:t>
      </w:r>
      <w:hyperlink r:id="rId22" w:tgtFrame="_blank" w:history="1">
        <w:r w:rsidRPr="00BE0E8C">
          <w:rPr>
            <w:rStyle w:val="Hyperlink"/>
          </w:rPr>
          <w:t>Annex</w:t>
        </w:r>
      </w:hyperlink>
      <w:r w:rsidRPr="00BE0E8C">
        <w:rPr>
          <w:color w:val="000000"/>
        </w:rPr>
        <w:t>):</w:t>
      </w:r>
    </w:p>
    <w:p w:rsidR="00155084" w:rsidRPr="00BE0E8C" w:rsidRDefault="00155084" w:rsidP="00155084">
      <w:pPr>
        <w:pStyle w:val="NormalWeb"/>
        <w:numPr>
          <w:ilvl w:val="0"/>
          <w:numId w:val="3"/>
        </w:numPr>
        <w:shd w:val="clear" w:color="auto" w:fill="FFFFFF"/>
        <w:spacing w:before="0" w:beforeAutospacing="0" w:after="0" w:afterAutospacing="0"/>
        <w:rPr>
          <w:color w:val="000000"/>
        </w:rPr>
      </w:pPr>
      <w:r w:rsidRPr="00BE0E8C">
        <w:rPr>
          <w:color w:val="000000"/>
        </w:rPr>
        <w:t>For transactions using credit/debit card:</w:t>
      </w:r>
      <w:r w:rsidRPr="00BE0E8C">
        <w:rPr>
          <w:color w:val="000000"/>
        </w:rPr>
        <w:br/>
      </w:r>
      <w:r w:rsidRPr="00BE0E8C">
        <w:rPr>
          <w:color w:val="000000"/>
        </w:rPr>
        <w:br/>
        <w:t>MCC X Country X Currency X Amount (Payment/Refund) X Card Status (Present /Not present)</w:t>
      </w:r>
    </w:p>
    <w:p w:rsidR="00155084" w:rsidRPr="00BE0E8C" w:rsidRDefault="00155084" w:rsidP="00155084">
      <w:pPr>
        <w:pStyle w:val="NormalWeb"/>
        <w:numPr>
          <w:ilvl w:val="0"/>
          <w:numId w:val="3"/>
        </w:numPr>
        <w:shd w:val="clear" w:color="auto" w:fill="FFFFFF"/>
        <w:spacing w:before="0" w:beforeAutospacing="0" w:after="0" w:afterAutospacing="0"/>
        <w:rPr>
          <w:color w:val="000000"/>
        </w:rPr>
      </w:pPr>
      <w:r w:rsidRPr="00BE0E8C">
        <w:rPr>
          <w:color w:val="000000"/>
        </w:rPr>
        <w:t>For transactions through UPI:</w:t>
      </w:r>
      <w:r w:rsidRPr="00BE0E8C">
        <w:rPr>
          <w:color w:val="000000"/>
        </w:rPr>
        <w:br/>
      </w:r>
      <w:r w:rsidRPr="00BE0E8C">
        <w:rPr>
          <w:color w:val="000000"/>
        </w:rPr>
        <w:br/>
        <w:t>MCC X Country X Currency X Amount (Payment/Refund) X QR Code Scan (Yes/No)</w:t>
      </w:r>
    </w:p>
    <w:p w:rsidR="00155084" w:rsidRPr="00BE0E8C" w:rsidRDefault="00155084" w:rsidP="00155084">
      <w:pPr>
        <w:pStyle w:val="NormalWeb"/>
        <w:shd w:val="clear" w:color="auto" w:fill="FFFFFF"/>
        <w:spacing w:before="0" w:beforeAutospacing="0" w:after="0" w:afterAutospacing="0"/>
        <w:rPr>
          <w:color w:val="000000"/>
        </w:rPr>
      </w:pPr>
    </w:p>
    <w:p w:rsidR="00155084" w:rsidRPr="00BE0E8C" w:rsidRDefault="00155084" w:rsidP="00155084">
      <w:pPr>
        <w:pStyle w:val="NormalWeb"/>
        <w:shd w:val="clear" w:color="auto" w:fill="FFFFFF"/>
        <w:spacing w:before="0" w:beforeAutospacing="0" w:after="0" w:afterAutospacing="0"/>
        <w:rPr>
          <w:color w:val="000000"/>
        </w:rPr>
      </w:pPr>
      <w:r w:rsidRPr="00BE0E8C">
        <w:rPr>
          <w:color w:val="000000"/>
        </w:rPr>
        <w:t xml:space="preserve">3. AD Banks need to report all card transactions (e.g., through </w:t>
      </w:r>
      <w:proofErr w:type="spellStart"/>
      <w:r w:rsidRPr="00BE0E8C">
        <w:rPr>
          <w:color w:val="000000"/>
        </w:rPr>
        <w:t>PoS</w:t>
      </w:r>
      <w:proofErr w:type="spellEnd"/>
      <w:r w:rsidRPr="00BE0E8C">
        <w:rPr>
          <w:color w:val="000000"/>
        </w:rPr>
        <w:t xml:space="preserve"> terminals / e-commerce (online purchase) / for transferring funds to bank accounts).</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t>4. Data submission by ADs:</w:t>
      </w:r>
    </w:p>
    <w:p w:rsidR="00155084" w:rsidRPr="00BE0E8C" w:rsidRDefault="00155084" w:rsidP="00155084">
      <w:pPr>
        <w:pStyle w:val="NormalWeb"/>
        <w:numPr>
          <w:ilvl w:val="0"/>
          <w:numId w:val="4"/>
        </w:numPr>
        <w:shd w:val="clear" w:color="auto" w:fill="FFFFFF"/>
        <w:spacing w:before="0" w:beforeAutospacing="0" w:after="0" w:afterAutospacing="0"/>
        <w:jc w:val="both"/>
        <w:rPr>
          <w:color w:val="000000"/>
        </w:rPr>
      </w:pPr>
      <w:r w:rsidRPr="00BE0E8C">
        <w:rPr>
          <w:color w:val="000000"/>
        </w:rPr>
        <w:t>ADs shall submit the FETERS-Cards data on the web-portal (</w:t>
      </w:r>
      <w:hyperlink r:id="rId23" w:tgtFrame="_blank" w:history="1">
        <w:r w:rsidRPr="00BE0E8C">
          <w:rPr>
            <w:rStyle w:val="Hyperlink"/>
          </w:rPr>
          <w:t>https://bop.rbi.org.in</w:t>
        </w:r>
      </w:hyperlink>
      <w:r w:rsidRPr="00BE0E8C">
        <w:rPr>
          <w:color w:val="000000"/>
        </w:rPr>
        <w:t>) by using the RBI-provided login-name and password, within seven working days from the last date of the month for which data are being reported. The web-portal provides detailed guidance and help material.</w:t>
      </w:r>
    </w:p>
    <w:p w:rsidR="00155084" w:rsidRPr="00BE0E8C" w:rsidRDefault="00155084" w:rsidP="00155084">
      <w:pPr>
        <w:pStyle w:val="NormalWeb"/>
        <w:numPr>
          <w:ilvl w:val="0"/>
          <w:numId w:val="4"/>
        </w:numPr>
        <w:shd w:val="clear" w:color="auto" w:fill="FFFFFF"/>
        <w:spacing w:before="0" w:beforeAutospacing="0" w:after="0" w:afterAutospacing="0"/>
        <w:jc w:val="both"/>
        <w:rPr>
          <w:color w:val="000000"/>
        </w:rPr>
      </w:pPr>
      <w:r w:rsidRPr="00BE0E8C">
        <w:rPr>
          <w:color w:val="000000"/>
        </w:rPr>
        <w:t>FETERS-Cards reporting will be implemented for the transactions taking place from April 1, 2021. Hence, details of the transactions in April 2021 may be reported in the first week of May 2021.</w:t>
      </w:r>
    </w:p>
    <w:p w:rsidR="00155084" w:rsidRPr="00BE0E8C" w:rsidRDefault="00155084" w:rsidP="00155084">
      <w:pPr>
        <w:pStyle w:val="NormalWeb"/>
        <w:numPr>
          <w:ilvl w:val="0"/>
          <w:numId w:val="4"/>
        </w:numPr>
        <w:shd w:val="clear" w:color="auto" w:fill="FFFFFF"/>
        <w:spacing w:before="0" w:beforeAutospacing="0" w:after="0" w:afterAutospacing="0"/>
        <w:jc w:val="both"/>
        <w:rPr>
          <w:color w:val="000000"/>
        </w:rPr>
      </w:pPr>
      <w:r w:rsidRPr="00BE0E8C">
        <w:rPr>
          <w:color w:val="000000"/>
        </w:rPr>
        <w:t>In case of any clarifications, banks may send their queries through </w:t>
      </w:r>
      <w:hyperlink r:id="rId24" w:history="1">
        <w:r w:rsidRPr="00BE0E8C">
          <w:rPr>
            <w:rStyle w:val="Hyperlink"/>
          </w:rPr>
          <w:t>e-mail</w:t>
        </w:r>
      </w:hyperlink>
      <w:r w:rsidRPr="00BE0E8C">
        <w:rPr>
          <w:color w:val="000000"/>
        </w:rPr>
        <w:t> or contact by phone at 022-26578416 or 022-26571154 (direct).</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color w:val="000000"/>
        </w:rPr>
      </w:pPr>
      <w:r w:rsidRPr="00BE0E8C">
        <w:rPr>
          <w:color w:val="000000"/>
        </w:rPr>
        <w:lastRenderedPageBreak/>
        <w:t>5. The directions contained in this circular have been issued under Sections 10(4) and 11(2) of the Foreign Exchange Management Act, 1999 (42 of 1999) and are without prejudice to permissions / approvals, if any, required under any other law.</w:t>
      </w:r>
    </w:p>
    <w:p w:rsidR="00155084" w:rsidRDefault="00155084">
      <w:r>
        <w:br w:type="page"/>
      </w:r>
    </w:p>
    <w:p w:rsidR="00155084" w:rsidRDefault="00155084" w:rsidP="00F07DB8">
      <w:p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ITF</w:t>
      </w:r>
    </w:p>
    <w:p w:rsidR="00F07DB8" w:rsidRDefault="00F07DB8" w:rsidP="00F07DB8">
      <w:pPr>
        <w:shd w:val="clear" w:color="auto" w:fill="FFFFFF"/>
        <w:spacing w:after="0" w:line="240" w:lineRule="auto"/>
        <w:jc w:val="center"/>
        <w:rPr>
          <w:rFonts w:ascii="Times New Roman" w:hAnsi="Times New Roman" w:cs="Times New Roman"/>
          <w:b/>
          <w:bCs/>
          <w:color w:val="000000"/>
          <w:sz w:val="24"/>
          <w:szCs w:val="24"/>
        </w:rPr>
      </w:pPr>
    </w:p>
    <w:p w:rsidR="00F07DB8" w:rsidRDefault="00F07DB8" w:rsidP="00F07DB8">
      <w:pPr>
        <w:shd w:val="clear" w:color="auto" w:fill="FFFFFF"/>
        <w:spacing w:after="0" w:line="240" w:lineRule="auto"/>
        <w:jc w:val="center"/>
        <w:rPr>
          <w:rFonts w:ascii="Times New Roman" w:hAnsi="Times New Roman" w:cs="Times New Roman"/>
          <w:b/>
          <w:bCs/>
          <w:color w:val="000000"/>
          <w:sz w:val="24"/>
          <w:szCs w:val="24"/>
        </w:rPr>
      </w:pPr>
    </w:p>
    <w:p w:rsidR="00155084" w:rsidRPr="00BE0E8C" w:rsidRDefault="00155084" w:rsidP="00155084">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Margin for Derivative Contracts</w:t>
      </w:r>
    </w:p>
    <w:p w:rsidR="00155084" w:rsidRPr="00BE0E8C" w:rsidRDefault="00155084" w:rsidP="00155084">
      <w:pPr>
        <w:pStyle w:val="NormalWeb"/>
        <w:shd w:val="clear" w:color="auto" w:fill="FFFFFF"/>
        <w:spacing w:before="0" w:beforeAutospacing="0" w:after="0" w:afterAutospacing="0"/>
        <w:jc w:val="both"/>
        <w:rPr>
          <w:b/>
          <w:color w:val="000000"/>
        </w:rPr>
      </w:pPr>
    </w:p>
    <w:p w:rsidR="00155084" w:rsidRPr="00BE0E8C" w:rsidRDefault="00155084" w:rsidP="00155084">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155084" w:rsidRPr="00BE0E8C" w:rsidRDefault="00155084" w:rsidP="00155084">
      <w:pPr>
        <w:pStyle w:val="NormalWeb"/>
        <w:shd w:val="clear" w:color="auto" w:fill="FFFFFF"/>
        <w:spacing w:before="0" w:beforeAutospacing="0" w:after="0" w:afterAutospacing="0"/>
        <w:jc w:val="both"/>
        <w:rPr>
          <w:color w:val="000000"/>
        </w:rPr>
      </w:pPr>
    </w:p>
    <w:p w:rsidR="00155084" w:rsidRPr="00BE0E8C" w:rsidRDefault="00155084" w:rsidP="00155084">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Attention of Authorised Dealer Category-I (AD Cat-I) banks is invited to the Foreign Exchange Management (Margin for Derivative Contracts) Regulations, 2020 notified in the Gazette of India vide notification no. FEMA.399/RB-2020 dated October 23, 2020 (</w:t>
      </w:r>
      <w:hyperlink r:id="rId25"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Accordingly, directions are being issued to allow posting and collection of margin for permitted derivative contracts between a person resident in India and a person resident outside India.</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155084" w:rsidRPr="00BE0E8C" w:rsidRDefault="00155084" w:rsidP="00155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155084" w:rsidRPr="00BE0E8C" w:rsidRDefault="00155084" w:rsidP="00155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155084" w:rsidRPr="00BE0E8C" w:rsidRDefault="00155084" w:rsidP="00155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Indian Central Government and State Governments;</w:t>
      </w:r>
    </w:p>
    <w:p w:rsidR="00155084" w:rsidRPr="00BE0E8C" w:rsidRDefault="00155084" w:rsidP="00155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Rupee bonds issued by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in India which are:</w:t>
      </w:r>
    </w:p>
    <w:p w:rsidR="00155084" w:rsidRPr="00BE0E8C" w:rsidRDefault="00155084" w:rsidP="00155084">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155084" w:rsidRPr="00BE0E8C" w:rsidRDefault="00155084" w:rsidP="00155084">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Assigned a credit rating of AAA issued by a rating agency registered with the Securities and Exchange Board of India. If different ratings are accorded by two or more credit rating agencies, then the lowest rating shall be reckoned.</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155084" w:rsidRPr="00BE0E8C" w:rsidRDefault="00155084" w:rsidP="00155084">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155084" w:rsidRPr="00BE0E8C" w:rsidRDefault="00155084" w:rsidP="00155084">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 AD Cat-I banks shall maintain a separate account in the name of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outside India for the purpose of posting and collecting cash margin in India, and transactions incidental thereto.</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directions contained in this circular have been issued under Sections 10(4) and 11(1) of the Foreign Exchange Management Act, 1999 (42 of 1999) and are without prejudice to permissions / approvals, if any, required under any other law.</w:t>
      </w:r>
    </w:p>
    <w:p w:rsidR="00155084" w:rsidRDefault="00155084">
      <w:r>
        <w:br w:type="page"/>
      </w:r>
    </w:p>
    <w:p w:rsidR="00155084" w:rsidRDefault="00155084" w:rsidP="00F07DB8">
      <w:pPr>
        <w:shd w:val="clear" w:color="auto" w:fill="FFFFFF"/>
        <w:spacing w:after="0" w:line="240" w:lineRule="auto"/>
        <w:jc w:val="center"/>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lastRenderedPageBreak/>
        <w:t>ITF</w:t>
      </w:r>
    </w:p>
    <w:p w:rsidR="00155084"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55084"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Foreign Exchange Management (Export of Goods and Services) (Amendment) Regulations, 2021</w:t>
      </w:r>
    </w:p>
    <w:p w:rsidR="00155084" w:rsidRPr="00BE0E8C"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Notification No. FEMA 23(R)</w:t>
      </w:r>
      <w:proofErr w:type="gramStart"/>
      <w:r w:rsidRPr="00BE0E8C">
        <w:rPr>
          <w:rFonts w:ascii="Times New Roman" w:eastAsia="Times New Roman" w:hAnsi="Times New Roman" w:cs="Times New Roman"/>
          <w:b/>
          <w:color w:val="000000"/>
          <w:sz w:val="24"/>
          <w:szCs w:val="24"/>
          <w:lang w:eastAsia="en-IN"/>
        </w:rPr>
        <w:t>/(</w:t>
      </w:r>
      <w:proofErr w:type="gramEnd"/>
      <w:r w:rsidRPr="00BE0E8C">
        <w:rPr>
          <w:rFonts w:ascii="Times New Roman" w:eastAsia="Times New Roman" w:hAnsi="Times New Roman" w:cs="Times New Roman"/>
          <w:b/>
          <w:color w:val="000000"/>
          <w:sz w:val="24"/>
          <w:szCs w:val="24"/>
          <w:lang w:eastAsia="en-IN"/>
        </w:rPr>
        <w:t>4)/2021-RB</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08, 2021</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w:t>
      </w:r>
      <w:hyperlink r:id="rId26" w:tgtFrame="_blank" w:history="1">
        <w:r w:rsidRPr="00BE0E8C">
          <w:rPr>
            <w:rFonts w:ascii="Times New Roman" w:eastAsia="Times New Roman" w:hAnsi="Times New Roman" w:cs="Times New Roman"/>
            <w:color w:val="0000FF"/>
            <w:sz w:val="24"/>
            <w:szCs w:val="24"/>
            <w:u w:val="single"/>
            <w:lang w:eastAsia="en-IN"/>
          </w:rPr>
          <w:t>Notification No. FEMA 23(R)/2015- RB dated January 12, 2016</w:t>
        </w:r>
      </w:hyperlink>
      <w:r w:rsidRPr="00BE0E8C">
        <w:rPr>
          <w:rFonts w:ascii="Times New Roman" w:eastAsia="Times New Roman" w:hAnsi="Times New Roman" w:cs="Times New Roman"/>
          <w:color w:val="000000"/>
          <w:sz w:val="24"/>
          <w:szCs w:val="24"/>
          <w:lang w:eastAsia="en-IN"/>
        </w:rPr>
        <w:t>] (hereinafter referred to as 'the Principal Regulations'), namely:</w:t>
      </w: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 -</w:t>
      </w:r>
    </w:p>
    <w:p w:rsidR="00155084" w:rsidRPr="00BE0E8C" w:rsidRDefault="00155084" w:rsidP="0015508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Regulations may be called the Foreign Exchange Management (Export of Goods and Services) (Amendment) Regulations, 2021.</w:t>
      </w:r>
    </w:p>
    <w:p w:rsidR="00155084" w:rsidRPr="00BE0E8C" w:rsidRDefault="00155084" w:rsidP="0015508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They shall come into force from the date of their publication in the </w:t>
      </w:r>
      <w:hyperlink r:id="rId27" w:tgtFrame="_blank" w:history="1">
        <w:r w:rsidRPr="00BE0E8C">
          <w:rPr>
            <w:rFonts w:ascii="Times New Roman" w:eastAsia="Times New Roman" w:hAnsi="Times New Roman" w:cs="Times New Roman"/>
            <w:color w:val="0000FF"/>
            <w:sz w:val="24"/>
            <w:szCs w:val="24"/>
            <w:u w:val="single"/>
            <w:lang w:eastAsia="en-IN"/>
          </w:rPr>
          <w:t>official Gazette</w:t>
        </w:r>
      </w:hyperlink>
      <w:r w:rsidRPr="00BE0E8C">
        <w:rPr>
          <w:rFonts w:ascii="Times New Roman" w:eastAsia="Times New Roman" w:hAnsi="Times New Roman" w:cs="Times New Roman"/>
          <w:color w:val="000000"/>
          <w:sz w:val="24"/>
          <w:szCs w:val="24"/>
          <w:lang w:eastAsia="en-IN"/>
        </w:rPr>
        <w:t>.</w:t>
      </w:r>
    </w:p>
    <w:p w:rsidR="00155084" w:rsidRPr="00BE0E8C" w:rsidRDefault="00155084" w:rsidP="00155084">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In the Principal Regulations, in regulation 4, for sub-regulation (</w:t>
      </w:r>
      <w:proofErr w:type="spellStart"/>
      <w:r w:rsidRPr="00BE0E8C">
        <w:rPr>
          <w:rFonts w:ascii="Times New Roman" w:eastAsia="Times New Roman" w:hAnsi="Times New Roman" w:cs="Times New Roman"/>
          <w:color w:val="000000"/>
          <w:sz w:val="24"/>
          <w:szCs w:val="24"/>
          <w:lang w:eastAsia="en-IN"/>
        </w:rPr>
        <w:t>ea</w:t>
      </w:r>
      <w:proofErr w:type="spellEnd"/>
      <w:r w:rsidRPr="00BE0E8C">
        <w:rPr>
          <w:rFonts w:ascii="Times New Roman" w:eastAsia="Times New Roman" w:hAnsi="Times New Roman" w:cs="Times New Roman"/>
          <w:color w:val="000000"/>
          <w:sz w:val="24"/>
          <w:szCs w:val="24"/>
          <w:lang w:eastAsia="en-IN"/>
        </w:rPr>
        <w:t xml:space="preserve">), the following shall be substituted, </w:t>
      </w:r>
      <w:proofErr w:type="gramStart"/>
      <w:r w:rsidRPr="00BE0E8C">
        <w:rPr>
          <w:rFonts w:ascii="Times New Roman" w:eastAsia="Times New Roman" w:hAnsi="Times New Roman" w:cs="Times New Roman"/>
          <w:color w:val="000000"/>
          <w:sz w:val="24"/>
          <w:szCs w:val="24"/>
          <w:lang w:eastAsia="en-IN"/>
        </w:rPr>
        <w:t>namely:-</w:t>
      </w:r>
      <w:proofErr w:type="gramEnd"/>
    </w:p>
    <w:p w:rsidR="00155084" w:rsidRPr="00BE0E8C" w:rsidRDefault="00155084" w:rsidP="00155084">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w:t>
      </w:r>
      <w:proofErr w:type="spellStart"/>
      <w:r w:rsidRPr="00BE0E8C">
        <w:rPr>
          <w:rFonts w:ascii="Times New Roman" w:eastAsia="Times New Roman" w:hAnsi="Times New Roman" w:cs="Times New Roman"/>
          <w:color w:val="000000"/>
          <w:sz w:val="24"/>
          <w:szCs w:val="24"/>
          <w:lang w:eastAsia="en-IN"/>
        </w:rPr>
        <w:t>ea</w:t>
      </w:r>
      <w:proofErr w:type="spellEnd"/>
      <w:r w:rsidRPr="00BE0E8C">
        <w:rPr>
          <w:rFonts w:ascii="Times New Roman" w:eastAsia="Times New Roman" w:hAnsi="Times New Roman" w:cs="Times New Roman"/>
          <w:color w:val="000000"/>
          <w:sz w:val="24"/>
          <w:szCs w:val="24"/>
          <w:lang w:eastAsia="en-IN"/>
        </w:rPr>
        <w:t>) re-export of leased aircraft/helicopter and/or engines/auxiliary power units (APUs), either completely or in partially knocked down condition re-possessed by overseas lessor and duly de-registered by the Directorate General of Civil Aviation (DGCA) on the request of Irrevocable Deregistration and Export Request Authorisation (IDERA) holder under ‘Cape Town Convention’ or any other termination or cancellation of the lease agreement between the lessor and lessee subject to permission by DGCA/Ministry of Civil Aviation for such export/s.”</w:t>
      </w:r>
    </w:p>
    <w:p w:rsidR="00155084" w:rsidRPr="00BE0E8C" w:rsidRDefault="00155084" w:rsidP="00155084">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5084" w:rsidRPr="00BE0E8C" w:rsidRDefault="00961F9D" w:rsidP="00155084">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28" w:history="1">
        <w:r w:rsidR="00155084" w:rsidRPr="00BE0E8C">
          <w:rPr>
            <w:rStyle w:val="Hyperlink"/>
            <w:rFonts w:ascii="Times New Roman" w:eastAsia="Times New Roman" w:hAnsi="Times New Roman" w:cs="Times New Roman"/>
            <w:sz w:val="24"/>
            <w:szCs w:val="24"/>
            <w:lang w:eastAsia="en-IN"/>
          </w:rPr>
          <w:t>https://www.rbi.org.in/Scripts/NotificationUser.aspx?Id=12014&amp;Mode=0</w:t>
        </w:r>
      </w:hyperlink>
      <w:r w:rsidR="00155084" w:rsidRPr="00BE0E8C">
        <w:rPr>
          <w:rFonts w:ascii="Times New Roman" w:eastAsia="Times New Roman" w:hAnsi="Times New Roman" w:cs="Times New Roman"/>
          <w:color w:val="000000"/>
          <w:sz w:val="24"/>
          <w:szCs w:val="24"/>
          <w:lang w:eastAsia="en-IN"/>
        </w:rPr>
        <w:t xml:space="preserve"> </w:t>
      </w:r>
    </w:p>
    <w:p w:rsidR="00155084" w:rsidRDefault="00155084">
      <w:r>
        <w:br w:type="page"/>
      </w:r>
    </w:p>
    <w:p w:rsidR="00155084" w:rsidRPr="00155084" w:rsidRDefault="00155084" w:rsidP="00F07DB8">
      <w:pPr>
        <w:jc w:val="center"/>
        <w:rPr>
          <w:rFonts w:ascii="Times New Roman" w:hAnsi="Times New Roman" w:cs="Times New Roman"/>
          <w:b/>
          <w:color w:val="000000"/>
          <w:sz w:val="24"/>
          <w:szCs w:val="24"/>
        </w:rPr>
      </w:pPr>
      <w:r w:rsidRPr="00155084">
        <w:rPr>
          <w:rFonts w:ascii="Times New Roman" w:hAnsi="Times New Roman" w:cs="Times New Roman"/>
          <w:b/>
          <w:color w:val="000000"/>
          <w:sz w:val="24"/>
          <w:szCs w:val="24"/>
        </w:rPr>
        <w:lastRenderedPageBreak/>
        <w:t>ITF</w:t>
      </w:r>
    </w:p>
    <w:p w:rsidR="00155084" w:rsidRDefault="00155084" w:rsidP="00155084">
      <w:pPr>
        <w:rPr>
          <w:rFonts w:ascii="Times New Roman" w:hAnsi="Times New Roman" w:cs="Times New Roman"/>
          <w:b/>
          <w:color w:val="000000"/>
          <w:sz w:val="24"/>
          <w:szCs w:val="24"/>
          <w:u w:val="single"/>
        </w:rPr>
      </w:pPr>
    </w:p>
    <w:p w:rsidR="00155084" w:rsidRDefault="00155084" w:rsidP="00155084">
      <w:pPr>
        <w:rPr>
          <w:rFonts w:ascii="Times New Roman" w:hAnsi="Times New Roman" w:cs="Times New Roman"/>
          <w:b/>
          <w:color w:val="000000"/>
          <w:sz w:val="24"/>
          <w:szCs w:val="24"/>
          <w:u w:val="single"/>
        </w:rPr>
      </w:pPr>
      <w:r w:rsidRPr="003B3D9C">
        <w:rPr>
          <w:rFonts w:ascii="Times New Roman" w:hAnsi="Times New Roman" w:cs="Times New Roman"/>
          <w:b/>
          <w:color w:val="000000"/>
          <w:sz w:val="24"/>
          <w:szCs w:val="24"/>
          <w:u w:val="single"/>
        </w:rPr>
        <w:t>Foreign Exchange Dealers’ Association of India</w:t>
      </w:r>
    </w:p>
    <w:p w:rsidR="00155084" w:rsidRDefault="00155084" w:rsidP="00155084">
      <w:pPr>
        <w:rPr>
          <w:rFonts w:ascii="Times New Roman" w:hAnsi="Times New Roman" w:cs="Times New Roman"/>
          <w:b/>
          <w:color w:val="000000"/>
          <w:sz w:val="24"/>
          <w:szCs w:val="24"/>
        </w:rPr>
      </w:pPr>
      <w:r w:rsidRPr="003B3D9C">
        <w:rPr>
          <w:rFonts w:ascii="Times New Roman" w:hAnsi="Times New Roman" w:cs="Times New Roman"/>
          <w:b/>
          <w:color w:val="000000"/>
          <w:sz w:val="24"/>
          <w:szCs w:val="24"/>
        </w:rPr>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155084" w:rsidRDefault="00155084" w:rsidP="00155084">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155084" w:rsidRPr="003B3D9C" w:rsidRDefault="00155084" w:rsidP="00155084">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155084" w:rsidRPr="003B3D9C" w:rsidRDefault="00155084" w:rsidP="00155084">
      <w:pPr>
        <w:pStyle w:val="ListParagraph"/>
        <w:numPr>
          <w:ilvl w:val="0"/>
          <w:numId w:val="10"/>
        </w:numPr>
        <w:spacing w:after="0" w:line="240" w:lineRule="auto"/>
        <w:jc w:val="both"/>
        <w:rPr>
          <w:rFonts w:ascii="Times New Roman" w:hAnsi="Times New Roman" w:cs="Times New Roman"/>
          <w:color w:val="000000"/>
          <w:sz w:val="24"/>
          <w:szCs w:val="24"/>
        </w:rPr>
      </w:pPr>
      <w:proofErr w:type="spellStart"/>
      <w:r w:rsidRPr="003B3D9C">
        <w:rPr>
          <w:rFonts w:ascii="Times New Roman" w:hAnsi="Times New Roman" w:cs="Times New Roman"/>
          <w:color w:val="000000"/>
          <w:sz w:val="24"/>
          <w:szCs w:val="24"/>
        </w:rPr>
        <w:t>were</w:t>
      </w:r>
      <w:proofErr w:type="spellEnd"/>
      <w:r w:rsidRPr="003B3D9C">
        <w:rPr>
          <w:rFonts w:ascii="Times New Roman" w:hAnsi="Times New Roman" w:cs="Times New Roman"/>
          <w:color w:val="000000"/>
          <w:sz w:val="24"/>
          <w:szCs w:val="24"/>
        </w:rPr>
        <w:t xml:space="preserve"> not being interpreted uniformly by all practitioners; </w:t>
      </w:r>
    </w:p>
    <w:p w:rsidR="00155084" w:rsidRPr="003B3D9C" w:rsidRDefault="00155084" w:rsidP="00155084">
      <w:pPr>
        <w:pStyle w:val="ListParagraph"/>
        <w:numPr>
          <w:ilvl w:val="0"/>
          <w:numId w:val="9"/>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155084" w:rsidRPr="003B3D9C" w:rsidRDefault="00155084" w:rsidP="00155084">
      <w:pPr>
        <w:pStyle w:val="ListParagraph"/>
        <w:numPr>
          <w:ilvl w:val="0"/>
          <w:numId w:val="9"/>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155084" w:rsidRDefault="00155084" w:rsidP="00155084">
      <w:pPr>
        <w:spacing w:after="0" w:line="240" w:lineRule="auto"/>
        <w:jc w:val="both"/>
        <w:rPr>
          <w:rFonts w:ascii="Times New Roman" w:hAnsi="Times New Roman" w:cs="Times New Roman"/>
          <w:color w:val="000000"/>
          <w:sz w:val="24"/>
          <w:szCs w:val="24"/>
        </w:rPr>
      </w:pPr>
    </w:p>
    <w:p w:rsidR="00155084" w:rsidRPr="003B3D9C" w:rsidRDefault="00155084" w:rsidP="00155084">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155084" w:rsidRDefault="00155084" w:rsidP="00155084">
      <w:pPr>
        <w:spacing w:after="0" w:line="240" w:lineRule="auto"/>
        <w:jc w:val="both"/>
        <w:rPr>
          <w:rFonts w:ascii="Times New Roman" w:hAnsi="Times New Roman" w:cs="Times New Roman"/>
          <w:color w:val="000000"/>
          <w:sz w:val="24"/>
          <w:szCs w:val="24"/>
        </w:rPr>
      </w:pPr>
    </w:p>
    <w:p w:rsidR="00155084" w:rsidRDefault="00155084" w:rsidP="00155084">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The RBI vide their letter </w:t>
      </w:r>
      <w:proofErr w:type="spellStart"/>
      <w:r w:rsidRPr="003B3D9C">
        <w:rPr>
          <w:rFonts w:ascii="Times New Roman" w:hAnsi="Times New Roman" w:cs="Times New Roman"/>
          <w:color w:val="000000"/>
          <w:sz w:val="24"/>
          <w:szCs w:val="24"/>
        </w:rPr>
        <w:t>FED.CO.Trade</w:t>
      </w:r>
      <w:proofErr w:type="spellEnd"/>
      <w:r w:rsidRPr="003B3D9C">
        <w:rPr>
          <w:rFonts w:ascii="Times New Roman" w:hAnsi="Times New Roman" w:cs="Times New Roman"/>
          <w:color w:val="000000"/>
          <w:sz w:val="24"/>
          <w:szCs w:val="24"/>
        </w:rPr>
        <w:t>/1875/05.31.077/2020-21 dated March 05, 2021 have clarified these terms as used in various guidelines, which is enclosed herewith for your record and compliance.</w:t>
      </w:r>
    </w:p>
    <w:p w:rsidR="00155084" w:rsidRDefault="00155084" w:rsidP="00155084">
      <w:pPr>
        <w:spacing w:after="0" w:line="240" w:lineRule="auto"/>
        <w:jc w:val="both"/>
        <w:rPr>
          <w:rFonts w:ascii="Times New Roman" w:hAnsi="Times New Roman" w:cs="Times New Roman"/>
          <w:color w:val="000000"/>
          <w:sz w:val="24"/>
          <w:szCs w:val="24"/>
        </w:rPr>
      </w:pPr>
    </w:p>
    <w:p w:rsidR="00155084" w:rsidRDefault="00155084" w:rsidP="00155084">
      <w:pPr>
        <w:pBdr>
          <w:bottom w:val="single" w:sz="12" w:space="1" w:color="auto"/>
        </w:pBd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Annexure to FEDAI Circular SPL-01/</w:t>
      </w:r>
      <w:proofErr w:type="spellStart"/>
      <w:r w:rsidRPr="003B3D9C">
        <w:rPr>
          <w:rFonts w:ascii="Times New Roman" w:hAnsi="Times New Roman" w:cs="Times New Roman"/>
          <w:color w:val="000000"/>
          <w:sz w:val="24"/>
          <w:szCs w:val="24"/>
        </w:rPr>
        <w:t>Exp</w:t>
      </w:r>
      <w:proofErr w:type="spellEnd"/>
      <w:r w:rsidRPr="003B3D9C">
        <w:rPr>
          <w:rFonts w:ascii="Times New Roman" w:hAnsi="Times New Roman" w:cs="Times New Roman"/>
          <w:color w:val="000000"/>
          <w:sz w:val="24"/>
          <w:szCs w:val="24"/>
        </w:rPr>
        <w:t xml:space="preserve">-imp/2021 dated 09th March2021: </w:t>
      </w:r>
      <w:r>
        <w:rPr>
          <w:rFonts w:ascii="Times New Roman" w:hAnsi="Times New Roman" w:cs="Times New Roman"/>
          <w:color w:val="000000"/>
          <w:sz w:val="24"/>
          <w:szCs w:val="24"/>
        </w:rPr>
        <w:t xml:space="preserve"> </w:t>
      </w:r>
      <w:hyperlink r:id="rId29" w:history="1">
        <w:r w:rsidRPr="003A2F80">
          <w:rPr>
            <w:rStyle w:val="Hyperlink"/>
            <w:rFonts w:ascii="Times New Roman" w:hAnsi="Times New Roman" w:cs="Times New Roman"/>
            <w:sz w:val="24"/>
            <w:szCs w:val="24"/>
          </w:rPr>
          <w:t>https://www.fedai.org.in/DocumentUploadFiles/SpecialCircular/SPL-01.2021dt.09March2021.pdf</w:t>
        </w:r>
      </w:hyperlink>
      <w:bookmarkStart w:id="0" w:name="_GoBack"/>
      <w:bookmarkEnd w:id="0"/>
    </w:p>
    <w:sectPr w:rsidR="00155084" w:rsidSect="00981692">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F9D" w:rsidRDefault="00961F9D" w:rsidP="00485B16">
      <w:pPr>
        <w:spacing w:after="0" w:line="240" w:lineRule="auto"/>
      </w:pPr>
      <w:r>
        <w:separator/>
      </w:r>
    </w:p>
  </w:endnote>
  <w:endnote w:type="continuationSeparator" w:id="0">
    <w:p w:rsidR="00961F9D" w:rsidRDefault="00961F9D" w:rsidP="0048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Default="00485B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841804"/>
      <w:docPartObj>
        <w:docPartGallery w:val="Page Numbers (Bottom of Page)"/>
        <w:docPartUnique/>
      </w:docPartObj>
    </w:sdtPr>
    <w:sdtEndPr>
      <w:rPr>
        <w:noProof/>
      </w:rPr>
    </w:sdtEndPr>
    <w:sdtContent>
      <w:p w:rsidR="00485B16" w:rsidRDefault="00485B16">
        <w:pPr>
          <w:pStyle w:val="Footer"/>
          <w:jc w:val="right"/>
        </w:pPr>
        <w:r>
          <w:fldChar w:fldCharType="begin"/>
        </w:r>
        <w:r>
          <w:instrText xml:space="preserve"> PAGE   \* MERGEFORMAT </w:instrText>
        </w:r>
        <w:r>
          <w:fldChar w:fldCharType="separate"/>
        </w:r>
        <w:r w:rsidR="00BC7781">
          <w:rPr>
            <w:noProof/>
          </w:rPr>
          <w:t>11</w:t>
        </w:r>
        <w:r>
          <w:rPr>
            <w:noProof/>
          </w:rPr>
          <w:fldChar w:fldCharType="end"/>
        </w:r>
      </w:p>
    </w:sdtContent>
  </w:sdt>
  <w:p w:rsidR="00485B16" w:rsidRDefault="00485B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Default="00485B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F9D" w:rsidRDefault="00961F9D" w:rsidP="00485B16">
      <w:pPr>
        <w:spacing w:after="0" w:line="240" w:lineRule="auto"/>
      </w:pPr>
      <w:r>
        <w:separator/>
      </w:r>
    </w:p>
  </w:footnote>
  <w:footnote w:type="continuationSeparator" w:id="0">
    <w:p w:rsidR="00961F9D" w:rsidRDefault="00961F9D" w:rsidP="0048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Default="00485B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Pr="00485B16" w:rsidRDefault="00485B16" w:rsidP="00485B1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Default="00485B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1E8"/>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6EE5DE3"/>
    <w:multiLevelType w:val="multilevel"/>
    <w:tmpl w:val="2D208A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5"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8"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9707E61"/>
    <w:multiLevelType w:val="multilevel"/>
    <w:tmpl w:val="2D208A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79C24FB1"/>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4"/>
  </w:num>
  <w:num w:numId="3">
    <w:abstractNumId w:val="6"/>
  </w:num>
  <w:num w:numId="4">
    <w:abstractNumId w:val="7"/>
  </w:num>
  <w:num w:numId="5">
    <w:abstractNumId w:val="10"/>
  </w:num>
  <w:num w:numId="6">
    <w:abstractNumId w:val="1"/>
  </w:num>
  <w:num w:numId="7">
    <w:abstractNumId w:val="8"/>
  </w:num>
  <w:num w:numId="8">
    <w:abstractNumId w:val="2"/>
  </w:num>
  <w:num w:numId="9">
    <w:abstractNumId w:val="3"/>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26"/>
    <w:rsid w:val="00155084"/>
    <w:rsid w:val="001A61F3"/>
    <w:rsid w:val="00232B65"/>
    <w:rsid w:val="003071E9"/>
    <w:rsid w:val="00485B16"/>
    <w:rsid w:val="0086036E"/>
    <w:rsid w:val="00961F9D"/>
    <w:rsid w:val="00981692"/>
    <w:rsid w:val="00B407E3"/>
    <w:rsid w:val="00BC7781"/>
    <w:rsid w:val="00D21F26"/>
    <w:rsid w:val="00F07DB8"/>
    <w:rsid w:val="00FC51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9489"/>
  <w15:chartTrackingRefBased/>
  <w15:docId w15:val="{FA99927C-9625-4285-85A7-17688367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508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55084"/>
    <w:rPr>
      <w:color w:val="0000FF"/>
      <w:u w:val="single"/>
    </w:rPr>
  </w:style>
  <w:style w:type="paragraph" w:styleId="ListParagraph">
    <w:name w:val="List Paragraph"/>
    <w:basedOn w:val="Normal"/>
    <w:uiPriority w:val="34"/>
    <w:qFormat/>
    <w:rsid w:val="00155084"/>
    <w:pPr>
      <w:ind w:left="720"/>
      <w:contextualSpacing/>
    </w:pPr>
  </w:style>
  <w:style w:type="paragraph" w:styleId="Header">
    <w:name w:val="header"/>
    <w:basedOn w:val="Normal"/>
    <w:link w:val="HeaderChar"/>
    <w:uiPriority w:val="99"/>
    <w:unhideWhenUsed/>
    <w:rsid w:val="00485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16"/>
  </w:style>
  <w:style w:type="paragraph" w:styleId="Footer">
    <w:name w:val="footer"/>
    <w:basedOn w:val="Normal"/>
    <w:link w:val="FooterChar"/>
    <w:uiPriority w:val="99"/>
    <w:unhideWhenUsed/>
    <w:rsid w:val="00485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020&amp;Mode=0" TargetMode="External"/><Relationship Id="rId13" Type="http://schemas.openxmlformats.org/officeDocument/2006/relationships/hyperlink" Target="https://rbidocs.rbi.org.in/rdocs/content/pdfs/BILA30032021_A1.pdf" TargetMode="External"/><Relationship Id="rId18" Type="http://schemas.openxmlformats.org/officeDocument/2006/relationships/hyperlink" Target="https://www.rbi.org.in/Scripts/BS_ViewMasCirculardetails.aspx?id=9893" TargetMode="External"/><Relationship Id="rId26" Type="http://schemas.openxmlformats.org/officeDocument/2006/relationships/hyperlink" Target="https://www.rbi.org.in/Scripts/NotificationUser.aspx?Id=10256&amp;Mode=0" TargetMode="External"/><Relationship Id="rId3" Type="http://schemas.openxmlformats.org/officeDocument/2006/relationships/settings" Target="settings.xml"/><Relationship Id="rId21" Type="http://schemas.openxmlformats.org/officeDocument/2006/relationships/hyperlink" Target="https://bop.rbi.org.in/" TargetMode="External"/><Relationship Id="rId34" Type="http://schemas.openxmlformats.org/officeDocument/2006/relationships/header" Target="header3.xml"/><Relationship Id="rId7" Type="http://schemas.openxmlformats.org/officeDocument/2006/relationships/hyperlink" Target="https://www.rbi.org.in/Scripts/NotificationUser.aspx?Id=1020&amp;Mode=0" TargetMode="External"/><Relationship Id="rId12" Type="http://schemas.openxmlformats.org/officeDocument/2006/relationships/hyperlink" Target="https://www.rbi.org.in/Scripts/BS_ViewMasCirculardetails.aspx?id=9859" TargetMode="External"/><Relationship Id="rId17" Type="http://schemas.openxmlformats.org/officeDocument/2006/relationships/hyperlink" Target="https://rbidocs.rbi.org.in/rdocs/content/pdfs/BILA30032021_A3.pdf" TargetMode="External"/><Relationship Id="rId25" Type="http://schemas.openxmlformats.org/officeDocument/2006/relationships/hyperlink" Target="https://rbidocs.rbi.org.in/rdocs/content/pdfs/AnnexI_15022021.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bi.org.in/Scripts/BS_ViewMasCirculardetails.aspx?id=9908" TargetMode="External"/><Relationship Id="rId20" Type="http://schemas.openxmlformats.org/officeDocument/2006/relationships/hyperlink" Target="https://rbi.org.in/Scripts/NotificationUser.aspx?Id=10276&amp;Mode=0" TargetMode="External"/><Relationship Id="rId29" Type="http://schemas.openxmlformats.org/officeDocument/2006/relationships/hyperlink" Target="https://www.fedai.org.in/DocumentUploadFiles/SpecialCircular/SPL-01.2021dt.09March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i.org.in/Scripts/NotificationUser.aspx?Id=12070&amp;Mode=0" TargetMode="External"/><Relationship Id="rId24" Type="http://schemas.openxmlformats.org/officeDocument/2006/relationships/hyperlink" Target="mailto:bkccard@rbi.org.i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bidocs.rbi.org.in/rdocs/content/pdfs/BILA30032021_A2.pdf" TargetMode="External"/><Relationship Id="rId23" Type="http://schemas.openxmlformats.org/officeDocument/2006/relationships/hyperlink" Target="https://bop.rbi.org.in/" TargetMode="External"/><Relationship Id="rId28" Type="http://schemas.openxmlformats.org/officeDocument/2006/relationships/hyperlink" Target="https://www.rbi.org.in/Scripts/NotificationUser.aspx?Id=12014&amp;Mode=0" TargetMode="External"/><Relationship Id="rId36" Type="http://schemas.openxmlformats.org/officeDocument/2006/relationships/fontTable" Target="fontTable.xml"/><Relationship Id="rId10" Type="http://schemas.openxmlformats.org/officeDocument/2006/relationships/hyperlink" Target="https://www.rbi.org.in/Scripts/NotificationUser.aspx?Id=12075&amp;Mode=0" TargetMode="External"/><Relationship Id="rId19" Type="http://schemas.openxmlformats.org/officeDocument/2006/relationships/hyperlink" Target="https://rbidocs.rbi.org.in/rdocs/content/pdfs/BILA30032021_A4.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rbi.org.in/Scripts/NotificationUser.aspx?Id=11887&amp;Mode=0" TargetMode="External"/><Relationship Id="rId14" Type="http://schemas.openxmlformats.org/officeDocument/2006/relationships/hyperlink" Target="https://www.rbi.org.in/Scripts/NotificationUser.aspx?Id=11278&amp;Mode=0" TargetMode="External"/><Relationship Id="rId22" Type="http://schemas.openxmlformats.org/officeDocument/2006/relationships/hyperlink" Target="https://rbidocs.rbi.org.in/rdocs/content/pdfs/NT113_25032021.pdf" TargetMode="External"/><Relationship Id="rId27" Type="http://schemas.openxmlformats.org/officeDocument/2006/relationships/hyperlink" Target="https://rbidocs.rbi.org.in/rdocs/content/pdfs/GazetteN21012021.pdf"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Vahitha</dc:creator>
  <cp:keywords/>
  <dc:description/>
  <cp:lastModifiedBy>Priti Agarwal</cp:lastModifiedBy>
  <cp:revision>3</cp:revision>
  <dcterms:created xsi:type="dcterms:W3CDTF">2021-07-16T23:58:00Z</dcterms:created>
  <dcterms:modified xsi:type="dcterms:W3CDTF">2021-07-17T00:01:00Z</dcterms:modified>
</cp:coreProperties>
</file>