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F13" w:rsidRPr="003C0F13" w:rsidRDefault="003C0F13" w:rsidP="003C0F13">
      <w:pPr>
        <w:pStyle w:val="NormalWeb"/>
        <w:shd w:val="clear" w:color="auto" w:fill="FFFFFF"/>
        <w:spacing w:before="0" w:beforeAutospacing="0" w:after="0" w:afterAutospacing="0"/>
        <w:jc w:val="center"/>
        <w:rPr>
          <w:b/>
          <w:bCs/>
          <w:color w:val="000000"/>
          <w:sz w:val="36"/>
          <w:u w:val="single"/>
        </w:rPr>
      </w:pPr>
      <w:r w:rsidRPr="003C0F13">
        <w:rPr>
          <w:b/>
          <w:bCs/>
          <w:color w:val="000000"/>
          <w:sz w:val="36"/>
          <w:u w:val="single"/>
        </w:rPr>
        <w:t>Ethics in Banking_ RBI Notifications Jan to June 2021</w:t>
      </w:r>
    </w:p>
    <w:p w:rsidR="003C0F13" w:rsidRDefault="003C0F13" w:rsidP="00C47E72">
      <w:pPr>
        <w:pStyle w:val="NormalWeb"/>
        <w:shd w:val="clear" w:color="auto" w:fill="FFFFFF"/>
        <w:spacing w:before="0" w:beforeAutospacing="0" w:after="0" w:afterAutospacing="0"/>
        <w:jc w:val="both"/>
        <w:rPr>
          <w:b/>
          <w:bCs/>
          <w:color w:val="000000"/>
        </w:rPr>
      </w:pPr>
    </w:p>
    <w:p w:rsidR="00C47E72" w:rsidRPr="00BE0E8C" w:rsidRDefault="00C47E72" w:rsidP="00C47E72">
      <w:pPr>
        <w:pStyle w:val="NormalWeb"/>
        <w:shd w:val="clear" w:color="auto" w:fill="FFFFFF"/>
        <w:spacing w:before="0" w:beforeAutospacing="0" w:after="0" w:afterAutospacing="0"/>
        <w:jc w:val="both"/>
        <w:rPr>
          <w:b/>
          <w:bCs/>
          <w:color w:val="000000"/>
        </w:rPr>
      </w:pPr>
      <w:r w:rsidRPr="00BE0E8C">
        <w:rPr>
          <w:b/>
          <w:bCs/>
          <w:color w:val="000000"/>
        </w:rPr>
        <w:t>Corporate Governance in Banks - Appointment of Directors and Constitution of Committees of the Board</w:t>
      </w:r>
    </w:p>
    <w:p w:rsidR="00C47E72" w:rsidRPr="00BE0E8C" w:rsidRDefault="00C47E72" w:rsidP="00C47E72">
      <w:pPr>
        <w:pStyle w:val="NormalWeb"/>
        <w:shd w:val="clear" w:color="auto" w:fill="FFFFFF"/>
        <w:spacing w:before="0" w:beforeAutospacing="0" w:after="0" w:afterAutospacing="0"/>
        <w:jc w:val="both"/>
        <w:rPr>
          <w:b/>
          <w:color w:val="000000"/>
        </w:rPr>
      </w:pPr>
    </w:p>
    <w:p w:rsidR="00C47E72" w:rsidRPr="00BE0E8C" w:rsidRDefault="00C47E72" w:rsidP="00C47E72">
      <w:pPr>
        <w:pStyle w:val="NormalWeb"/>
        <w:shd w:val="clear" w:color="auto" w:fill="FFFFFF"/>
        <w:spacing w:before="0" w:beforeAutospacing="0" w:after="0" w:afterAutospacing="0"/>
        <w:jc w:val="both"/>
        <w:rPr>
          <w:b/>
          <w:color w:val="000000"/>
        </w:rPr>
      </w:pPr>
      <w:r w:rsidRPr="00BE0E8C">
        <w:rPr>
          <w:b/>
          <w:color w:val="000000"/>
        </w:rPr>
        <w:t>RBI/2021-22/24 DOR.GOV.REC.8/29.67.001/2021-22</w:t>
      </w:r>
      <w:r w:rsidRPr="00BE0E8C">
        <w:rPr>
          <w:b/>
          <w:color w:val="000000"/>
        </w:rPr>
        <w:tab/>
      </w:r>
      <w:r w:rsidRPr="00BE0E8C">
        <w:rPr>
          <w:b/>
          <w:color w:val="000000"/>
        </w:rPr>
        <w:tab/>
      </w:r>
      <w:r w:rsidRPr="00BE0E8C">
        <w:rPr>
          <w:b/>
          <w:color w:val="000000"/>
        </w:rPr>
        <w:tab/>
        <w:t>April 26, 2021</w:t>
      </w:r>
    </w:p>
    <w:p w:rsidR="00C47E72" w:rsidRPr="00BE0E8C" w:rsidRDefault="00C47E72" w:rsidP="00C47E72">
      <w:pPr>
        <w:pStyle w:val="NormalWeb"/>
        <w:shd w:val="clear" w:color="auto" w:fill="FFFFFF"/>
        <w:spacing w:before="0" w:beforeAutospacing="0" w:after="0" w:afterAutospacing="0"/>
        <w:jc w:val="both"/>
        <w:rPr>
          <w:i/>
          <w:color w:val="000000"/>
          <w:shd w:val="clear" w:color="auto" w:fill="FFFFFF"/>
        </w:rPr>
      </w:pPr>
    </w:p>
    <w:p w:rsidR="00C47E72" w:rsidRPr="00BE0E8C" w:rsidRDefault="00C47E72" w:rsidP="00C47E72">
      <w:pPr>
        <w:pStyle w:val="NormalWeb"/>
        <w:shd w:val="clear" w:color="auto" w:fill="FFFFFF"/>
        <w:spacing w:before="0" w:beforeAutospacing="0" w:after="0" w:afterAutospacing="0"/>
        <w:jc w:val="both"/>
        <w:rPr>
          <w:i/>
          <w:color w:val="000000"/>
          <w:shd w:val="clear" w:color="auto" w:fill="FFFFFF"/>
        </w:rPr>
      </w:pPr>
      <w:r w:rsidRPr="00BE0E8C">
        <w:rPr>
          <w:i/>
          <w:color w:val="000000"/>
          <w:shd w:val="clear" w:color="auto" w:fill="FFFFFF"/>
        </w:rPr>
        <w:t>To Commercial Banks (as per applicability)</w:t>
      </w:r>
    </w:p>
    <w:p w:rsidR="00C47E72" w:rsidRPr="00BE0E8C" w:rsidRDefault="00C47E72" w:rsidP="00C47E72">
      <w:pPr>
        <w:pStyle w:val="NormalWeb"/>
        <w:shd w:val="clear" w:color="auto" w:fill="FFFFFF"/>
        <w:spacing w:before="0" w:beforeAutospacing="0" w:after="0" w:afterAutospacing="0"/>
        <w:jc w:val="both"/>
        <w:rPr>
          <w:color w:val="000000"/>
        </w:rPr>
      </w:pPr>
    </w:p>
    <w:p w:rsidR="00C47E72" w:rsidRPr="00BE0E8C" w:rsidRDefault="00C47E72" w:rsidP="00C47E72">
      <w:pPr>
        <w:pStyle w:val="NormalWeb"/>
        <w:shd w:val="clear" w:color="auto" w:fill="FFFFFF"/>
        <w:spacing w:before="0" w:beforeAutospacing="0" w:after="0" w:afterAutospacing="0"/>
        <w:jc w:val="both"/>
        <w:rPr>
          <w:color w:val="000000"/>
        </w:rPr>
      </w:pPr>
      <w:r w:rsidRPr="00BE0E8C">
        <w:rPr>
          <w:color w:val="000000"/>
        </w:rPr>
        <w:t>A Discussion Paper on ‘</w:t>
      </w:r>
      <w:hyperlink r:id="rId5" w:tgtFrame="_blank" w:history="1">
        <w:r w:rsidRPr="00BE0E8C">
          <w:rPr>
            <w:rStyle w:val="Hyperlink"/>
            <w:u w:val="none"/>
          </w:rPr>
          <w:t>Governance in Commercial Banks in India</w:t>
        </w:r>
      </w:hyperlink>
      <w:r w:rsidRPr="00BE0E8C">
        <w:rPr>
          <w:color w:val="000000"/>
        </w:rPr>
        <w:t>’ was issued by the Reserve Bank on Jun</w:t>
      </w:r>
      <w:bookmarkStart w:id="0" w:name="_GoBack"/>
      <w:bookmarkEnd w:id="0"/>
      <w:r w:rsidRPr="00BE0E8C">
        <w:rPr>
          <w:color w:val="000000"/>
        </w:rPr>
        <w:t>e 11, 2020 to review the framework for governance in the commercial banks. Based on the feedback received, a comprehensive review of the framework has been done, and a Master Direction on Governance will be issued in due course. In order to address a few operative aspects received through such feedback, it has been decided to issue instructions with regard to the Chair and meetings of the board, composition of certain committees of the board, age, tenure and remuneration of directors, and appointment of the whole-time directors (WTDs).</w:t>
      </w:r>
    </w:p>
    <w:p w:rsidR="00C47E72" w:rsidRPr="00BE0E8C" w:rsidRDefault="00C47E72" w:rsidP="00C47E72">
      <w:pPr>
        <w:pStyle w:val="NormalWeb"/>
        <w:shd w:val="clear" w:color="auto" w:fill="FFFFFF"/>
        <w:spacing w:before="0" w:beforeAutospacing="0" w:after="0" w:afterAutospacing="0"/>
        <w:jc w:val="both"/>
        <w:rPr>
          <w:color w:val="000000"/>
        </w:rPr>
      </w:pPr>
    </w:p>
    <w:p w:rsidR="00C47E72" w:rsidRPr="00BE0E8C" w:rsidRDefault="00C47E72" w:rsidP="00C47E72">
      <w:pPr>
        <w:pStyle w:val="head"/>
        <w:shd w:val="clear" w:color="auto" w:fill="FFFFFF"/>
        <w:spacing w:before="0" w:beforeAutospacing="0" w:after="0" w:afterAutospacing="0"/>
        <w:jc w:val="both"/>
        <w:rPr>
          <w:b/>
          <w:bCs/>
          <w:color w:val="000000"/>
        </w:rPr>
      </w:pPr>
      <w:r w:rsidRPr="00BE0E8C">
        <w:rPr>
          <w:b/>
          <w:bCs/>
          <w:color w:val="000000"/>
        </w:rPr>
        <w:t>Applicability</w:t>
      </w:r>
    </w:p>
    <w:p w:rsidR="00C47E72" w:rsidRPr="00BE0E8C" w:rsidRDefault="00C47E72" w:rsidP="00C47E72">
      <w:pPr>
        <w:pStyle w:val="NormalWeb"/>
        <w:shd w:val="clear" w:color="auto" w:fill="FFFFFF"/>
        <w:spacing w:before="0" w:beforeAutospacing="0" w:after="0" w:afterAutospacing="0"/>
        <w:jc w:val="both"/>
        <w:rPr>
          <w:color w:val="000000"/>
        </w:rPr>
      </w:pPr>
      <w:r w:rsidRPr="00BE0E8C">
        <w:rPr>
          <w:color w:val="000000"/>
        </w:rPr>
        <w:t>2. The revised instructions would be applicable to all the Private Sector Banks including Small Finance Banks (SFBs) and wholly owned subsidiaries of Foreign Banks. In respect of State Bank of India and Nationalised Banks, these guidelines would apply to the extent the stipulations are not inconsistent with provisions of specific statutes applicable to these banks or instructions issued under the statutes. The contents of this circular must be read along with other relevant governing statutes and shall be applicable notwithstanding anything to the contrary contained in the licensing conditions, notifications, directions, regulations, guidelines, instructions, etc., issued by the Reserve Bank before the issue of this circular. The circular will not be applicable in the case of foreign banks operating as branches in India. The applicability to other commercial banks viz., Local Area Banks, Payments Banks and Regional Rural Banks will be notified separately.</w:t>
      </w:r>
    </w:p>
    <w:p w:rsidR="00C47E72" w:rsidRPr="00BE0E8C" w:rsidRDefault="00C47E72" w:rsidP="00C47E72">
      <w:pPr>
        <w:pStyle w:val="NormalWeb"/>
        <w:shd w:val="clear" w:color="auto" w:fill="FFFFFF"/>
        <w:spacing w:before="0" w:beforeAutospacing="0" w:after="0" w:afterAutospacing="0"/>
        <w:jc w:val="both"/>
        <w:rPr>
          <w:color w:val="000000"/>
        </w:rPr>
      </w:pPr>
    </w:p>
    <w:p w:rsidR="00C47E72" w:rsidRPr="00BE0E8C" w:rsidRDefault="00C47E72" w:rsidP="00C47E72">
      <w:pPr>
        <w:pStyle w:val="head"/>
        <w:shd w:val="clear" w:color="auto" w:fill="FFFFFF"/>
        <w:spacing w:before="0" w:beforeAutospacing="0" w:after="0" w:afterAutospacing="0"/>
        <w:jc w:val="both"/>
        <w:rPr>
          <w:b/>
          <w:bCs/>
          <w:color w:val="000000"/>
        </w:rPr>
      </w:pPr>
      <w:r w:rsidRPr="00BE0E8C">
        <w:rPr>
          <w:b/>
          <w:bCs/>
          <w:color w:val="000000"/>
        </w:rPr>
        <w:t>Chair and meetings of the Board</w:t>
      </w:r>
    </w:p>
    <w:p w:rsidR="00C47E72" w:rsidRPr="00BE0E8C" w:rsidRDefault="00C47E72" w:rsidP="00C47E72">
      <w:pPr>
        <w:pStyle w:val="NormalWeb"/>
        <w:shd w:val="clear" w:color="auto" w:fill="FFFFFF"/>
        <w:spacing w:before="0" w:beforeAutospacing="0" w:after="0" w:afterAutospacing="0"/>
        <w:jc w:val="both"/>
        <w:rPr>
          <w:color w:val="000000"/>
        </w:rPr>
      </w:pPr>
      <w:r w:rsidRPr="00BE0E8C">
        <w:rPr>
          <w:color w:val="000000"/>
        </w:rPr>
        <w:t>3. The Chair of the board shall be an independent director. In the absence of the Chair of the board, the meetings of the board shall be chaired by an independent director. The quorum for the board meetings shall be one-third of the total strength of the board or three directors, whichever is higher. At least half of the directors attending the meetings of the board shall be independent directors.</w:t>
      </w:r>
    </w:p>
    <w:p w:rsidR="00C47E72" w:rsidRPr="00BE0E8C" w:rsidRDefault="00C47E72" w:rsidP="00C47E72">
      <w:pPr>
        <w:pStyle w:val="NormalWeb"/>
        <w:shd w:val="clear" w:color="auto" w:fill="FFFFFF"/>
        <w:spacing w:before="0" w:beforeAutospacing="0" w:after="0" w:afterAutospacing="0"/>
        <w:jc w:val="both"/>
        <w:rPr>
          <w:color w:val="000000"/>
        </w:rPr>
      </w:pPr>
    </w:p>
    <w:p w:rsidR="00C47E72" w:rsidRPr="00BE0E8C" w:rsidRDefault="00C47E72" w:rsidP="00C47E72">
      <w:pPr>
        <w:pStyle w:val="head"/>
        <w:shd w:val="clear" w:color="auto" w:fill="FFFFFF"/>
        <w:spacing w:before="0" w:beforeAutospacing="0" w:after="0" w:afterAutospacing="0"/>
        <w:jc w:val="both"/>
        <w:rPr>
          <w:b/>
          <w:bCs/>
          <w:color w:val="000000"/>
        </w:rPr>
      </w:pPr>
      <w:r w:rsidRPr="00BE0E8C">
        <w:rPr>
          <w:b/>
          <w:bCs/>
          <w:color w:val="000000"/>
        </w:rPr>
        <w:t>Committees of the Board</w:t>
      </w:r>
    </w:p>
    <w:p w:rsidR="00C47E72" w:rsidRPr="00BE0E8C" w:rsidRDefault="00C47E72" w:rsidP="00C47E72">
      <w:pPr>
        <w:pStyle w:val="NormalWeb"/>
        <w:shd w:val="clear" w:color="auto" w:fill="FFFFFF"/>
        <w:spacing w:before="0" w:beforeAutospacing="0" w:after="0" w:afterAutospacing="0"/>
        <w:jc w:val="both"/>
        <w:rPr>
          <w:color w:val="000000"/>
        </w:rPr>
      </w:pPr>
    </w:p>
    <w:p w:rsidR="00C47E72" w:rsidRPr="00BE0E8C" w:rsidRDefault="00C47E72" w:rsidP="00C47E72">
      <w:pPr>
        <w:pStyle w:val="head"/>
        <w:shd w:val="clear" w:color="auto" w:fill="FFFFFF"/>
        <w:spacing w:before="0" w:beforeAutospacing="0" w:after="0" w:afterAutospacing="0"/>
        <w:jc w:val="both"/>
        <w:rPr>
          <w:b/>
          <w:bCs/>
          <w:color w:val="000000"/>
        </w:rPr>
      </w:pPr>
      <w:r w:rsidRPr="00BE0E8C">
        <w:rPr>
          <w:b/>
          <w:bCs/>
          <w:color w:val="000000"/>
        </w:rPr>
        <w:t>(a) Audit Committee of the Board (ACB)</w:t>
      </w:r>
    </w:p>
    <w:p w:rsidR="00C47E72" w:rsidRPr="00BE0E8C" w:rsidRDefault="00C47E72" w:rsidP="00C47E72">
      <w:pPr>
        <w:pStyle w:val="NormalWeb"/>
        <w:shd w:val="clear" w:color="auto" w:fill="FFFFFF"/>
        <w:spacing w:before="0" w:beforeAutospacing="0" w:after="0" w:afterAutospacing="0"/>
        <w:jc w:val="both"/>
        <w:rPr>
          <w:color w:val="000000"/>
        </w:rPr>
      </w:pPr>
      <w:r w:rsidRPr="00BE0E8C">
        <w:rPr>
          <w:color w:val="000000"/>
        </w:rPr>
        <w:t>4. The ACB shall be constituted with only non-executive directors (NEDs). The Chair of the board shall not be a member of the ACB. The ACB shall meet with a quorum of three members. At least two-thirds of the members attending the meeting of the ACB shall be independent directors</w:t>
      </w:r>
      <w:hyperlink r:id="rId6" w:anchor="F1" w:history="1">
        <w:r w:rsidRPr="00BE0E8C">
          <w:rPr>
            <w:rStyle w:val="Hyperlink"/>
            <w:u w:val="none"/>
            <w:vertAlign w:val="superscript"/>
          </w:rPr>
          <w:t>1</w:t>
        </w:r>
      </w:hyperlink>
      <w:r w:rsidRPr="00BE0E8C">
        <w:rPr>
          <w:color w:val="000000"/>
        </w:rPr>
        <w:t xml:space="preserve">. The ACB shall meet at least once in a quarter. The meetings of the ACB shall be chaired by an independent director who shall not chair any other committee of the Board. The Chair of the ACB shall not be a member of any committee of the board which has a mandate of sanctioning credit exposures. All members should have the ability to understand all financial statements as well as the notes/ reports attached thereto and at least one member shall have requisite professional expertise/ qualification in financial accounting or financial management </w:t>
      </w:r>
      <w:r w:rsidRPr="00BE0E8C">
        <w:rPr>
          <w:color w:val="000000"/>
        </w:rPr>
        <w:lastRenderedPageBreak/>
        <w:t>[e.g., experience in application of accounting standards and practices, including internal controls around it].</w:t>
      </w:r>
    </w:p>
    <w:p w:rsidR="00C47E72" w:rsidRPr="00BE0E8C" w:rsidRDefault="00C47E72" w:rsidP="00C47E72">
      <w:pPr>
        <w:pStyle w:val="NormalWeb"/>
        <w:shd w:val="clear" w:color="auto" w:fill="FFFFFF"/>
        <w:spacing w:before="0" w:beforeAutospacing="0" w:after="0" w:afterAutospacing="0"/>
        <w:jc w:val="both"/>
        <w:rPr>
          <w:color w:val="000000"/>
        </w:rPr>
      </w:pPr>
    </w:p>
    <w:p w:rsidR="00C47E72" w:rsidRPr="00BE0E8C" w:rsidRDefault="00C47E72" w:rsidP="00C47E72">
      <w:pPr>
        <w:pStyle w:val="head"/>
        <w:shd w:val="clear" w:color="auto" w:fill="FFFFFF"/>
        <w:spacing w:before="0" w:beforeAutospacing="0" w:after="0" w:afterAutospacing="0"/>
        <w:jc w:val="both"/>
        <w:rPr>
          <w:b/>
          <w:bCs/>
          <w:color w:val="000000"/>
        </w:rPr>
      </w:pPr>
      <w:r w:rsidRPr="00BE0E8C">
        <w:rPr>
          <w:b/>
          <w:bCs/>
          <w:color w:val="000000"/>
        </w:rPr>
        <w:t>(b) Risk Management Committee of the Board (RMCB)</w:t>
      </w:r>
    </w:p>
    <w:p w:rsidR="00C47E72" w:rsidRPr="00BE0E8C" w:rsidRDefault="00C47E72" w:rsidP="00C47E72">
      <w:pPr>
        <w:pStyle w:val="NormalWeb"/>
        <w:shd w:val="clear" w:color="auto" w:fill="FFFFFF"/>
        <w:spacing w:before="0" w:beforeAutospacing="0" w:after="0" w:afterAutospacing="0"/>
        <w:jc w:val="both"/>
        <w:rPr>
          <w:color w:val="000000"/>
        </w:rPr>
      </w:pPr>
      <w:r w:rsidRPr="00BE0E8C">
        <w:rPr>
          <w:color w:val="000000"/>
        </w:rPr>
        <w:t>5. The board shall constitute an RMCB with a majority of NEDs. The RMCB shall meet with a quorum of three members. At least half of the members attending the meeting of the RMCB shall be independent directors of which at least one member shall have professional expertise/ qualification in risk management</w:t>
      </w:r>
      <w:hyperlink r:id="rId7" w:anchor="F2" w:history="1">
        <w:r w:rsidRPr="00BE0E8C">
          <w:rPr>
            <w:rStyle w:val="Hyperlink"/>
            <w:u w:val="none"/>
            <w:vertAlign w:val="superscript"/>
          </w:rPr>
          <w:t>2</w:t>
        </w:r>
      </w:hyperlink>
      <w:r w:rsidRPr="00BE0E8C">
        <w:rPr>
          <w:color w:val="000000"/>
        </w:rPr>
        <w:t>. Meetings of RMCB shall be chaired by an independent director who shall not be a Chair of the board or any other committee of the board. The Chair of the board may be a member of the RMCB only if he/she has the requisite risk management expertise. The RMCB shall meet at least once in each quarter.</w:t>
      </w:r>
    </w:p>
    <w:p w:rsidR="00C47E72" w:rsidRPr="00BE0E8C" w:rsidRDefault="00C47E72" w:rsidP="00C47E72">
      <w:pPr>
        <w:pStyle w:val="NormalWeb"/>
        <w:shd w:val="clear" w:color="auto" w:fill="FFFFFF"/>
        <w:spacing w:before="0" w:beforeAutospacing="0" w:after="0" w:afterAutospacing="0"/>
        <w:jc w:val="both"/>
        <w:rPr>
          <w:color w:val="000000"/>
        </w:rPr>
      </w:pPr>
    </w:p>
    <w:p w:rsidR="00C47E72" w:rsidRPr="00BE0E8C" w:rsidRDefault="00C47E72" w:rsidP="00C47E72">
      <w:pPr>
        <w:pStyle w:val="head"/>
        <w:shd w:val="clear" w:color="auto" w:fill="FFFFFF"/>
        <w:spacing w:before="0" w:beforeAutospacing="0" w:after="0" w:afterAutospacing="0"/>
        <w:jc w:val="both"/>
        <w:rPr>
          <w:b/>
          <w:bCs/>
          <w:color w:val="000000"/>
        </w:rPr>
      </w:pPr>
      <w:r w:rsidRPr="00BE0E8C">
        <w:rPr>
          <w:b/>
          <w:bCs/>
          <w:color w:val="000000"/>
        </w:rPr>
        <w:t>(c) Nomination and Remuneration Committee (NRC)</w:t>
      </w:r>
    </w:p>
    <w:p w:rsidR="00C47E72" w:rsidRPr="00BE0E8C" w:rsidRDefault="00C47E72" w:rsidP="00C47E72">
      <w:pPr>
        <w:pStyle w:val="NormalWeb"/>
        <w:shd w:val="clear" w:color="auto" w:fill="FFFFFF"/>
        <w:spacing w:before="0" w:beforeAutospacing="0" w:after="0" w:afterAutospacing="0"/>
        <w:jc w:val="both"/>
        <w:rPr>
          <w:color w:val="000000"/>
        </w:rPr>
      </w:pPr>
      <w:r w:rsidRPr="00BE0E8C">
        <w:rPr>
          <w:color w:val="000000"/>
        </w:rPr>
        <w:t>6. The board shall constitute an NRC made up of only NEDs. The NRC shall meet with a quorum of three members. At least half of the members attending the meeting of the NRC shall be independent directors, of which one shall be a member of the RMCB. The meetings of the NRC shall be chaired by an independent director. The Chair of the board shall not chair the NRC. The meeting of NRC may be held as and when required</w:t>
      </w:r>
      <w:hyperlink r:id="rId8" w:anchor="F3" w:history="1">
        <w:r w:rsidRPr="00BE0E8C">
          <w:rPr>
            <w:rStyle w:val="Hyperlink"/>
            <w:u w:val="none"/>
            <w:vertAlign w:val="superscript"/>
          </w:rPr>
          <w:t>3</w:t>
        </w:r>
      </w:hyperlink>
      <w:r w:rsidRPr="00BE0E8C">
        <w:rPr>
          <w:color w:val="000000"/>
        </w:rPr>
        <w:t>.</w:t>
      </w:r>
    </w:p>
    <w:p w:rsidR="00C47E72" w:rsidRPr="00BE0E8C" w:rsidRDefault="00C47E72" w:rsidP="00C47E72">
      <w:pPr>
        <w:pStyle w:val="NormalWeb"/>
        <w:shd w:val="clear" w:color="auto" w:fill="FFFFFF"/>
        <w:spacing w:before="0" w:beforeAutospacing="0" w:after="0" w:afterAutospacing="0"/>
        <w:jc w:val="both"/>
        <w:rPr>
          <w:color w:val="000000"/>
        </w:rPr>
      </w:pPr>
    </w:p>
    <w:p w:rsidR="00C47E72" w:rsidRPr="00BE0E8C" w:rsidRDefault="00C47E72" w:rsidP="00C47E72">
      <w:pPr>
        <w:pStyle w:val="head"/>
        <w:shd w:val="clear" w:color="auto" w:fill="FFFFFF"/>
        <w:spacing w:before="0" w:beforeAutospacing="0" w:after="0" w:afterAutospacing="0"/>
        <w:jc w:val="both"/>
        <w:rPr>
          <w:b/>
          <w:bCs/>
          <w:color w:val="000000"/>
        </w:rPr>
      </w:pPr>
      <w:r w:rsidRPr="00BE0E8C">
        <w:rPr>
          <w:b/>
          <w:bCs/>
          <w:color w:val="000000"/>
        </w:rPr>
        <w:t>Age and tenure of NEDs</w:t>
      </w:r>
    </w:p>
    <w:p w:rsidR="00C47E72" w:rsidRPr="00BE0E8C" w:rsidRDefault="00C47E72" w:rsidP="00C47E72">
      <w:pPr>
        <w:pStyle w:val="NormalWeb"/>
        <w:shd w:val="clear" w:color="auto" w:fill="FFFFFF"/>
        <w:spacing w:before="0" w:beforeAutospacing="0" w:after="0" w:afterAutospacing="0"/>
        <w:jc w:val="both"/>
        <w:rPr>
          <w:color w:val="000000"/>
        </w:rPr>
      </w:pPr>
      <w:r w:rsidRPr="00BE0E8C">
        <w:rPr>
          <w:color w:val="000000"/>
        </w:rPr>
        <w:t>7. The upper age limit for NEDs, including the Chair of the board, shall be 75 years and after attaining the age of 75 years no person can continue in these positions</w:t>
      </w:r>
      <w:hyperlink r:id="rId9" w:anchor="F4" w:history="1">
        <w:r w:rsidRPr="00BE0E8C">
          <w:rPr>
            <w:rStyle w:val="Hyperlink"/>
            <w:u w:val="none"/>
            <w:vertAlign w:val="superscript"/>
          </w:rPr>
          <w:t>4</w:t>
        </w:r>
      </w:hyperlink>
      <w:r w:rsidRPr="00BE0E8C">
        <w:rPr>
          <w:color w:val="000000"/>
        </w:rPr>
        <w:t>.</w:t>
      </w:r>
    </w:p>
    <w:p w:rsidR="00C47E72" w:rsidRPr="00BE0E8C" w:rsidRDefault="00C47E72" w:rsidP="00C47E72">
      <w:pPr>
        <w:pStyle w:val="NormalWeb"/>
        <w:shd w:val="clear" w:color="auto" w:fill="FFFFFF"/>
        <w:spacing w:before="0" w:beforeAutospacing="0" w:after="0" w:afterAutospacing="0"/>
        <w:jc w:val="both"/>
        <w:rPr>
          <w:color w:val="000000"/>
        </w:rPr>
      </w:pPr>
    </w:p>
    <w:p w:rsidR="00C47E72" w:rsidRPr="00BE0E8C" w:rsidRDefault="00C47E72" w:rsidP="00C47E72">
      <w:pPr>
        <w:pStyle w:val="NormalWeb"/>
        <w:shd w:val="clear" w:color="auto" w:fill="FFFFFF"/>
        <w:spacing w:before="0" w:beforeAutospacing="0" w:after="0" w:afterAutospacing="0"/>
        <w:jc w:val="both"/>
        <w:rPr>
          <w:color w:val="000000"/>
        </w:rPr>
      </w:pPr>
      <w:r w:rsidRPr="00BE0E8C">
        <w:rPr>
          <w:color w:val="000000"/>
        </w:rPr>
        <w:t>8. The total tenure of an NED, continuously or otherwise, on the board of a bank, shall not exceed eight years. After completing eight years on the board of a bank the person may be considered for re-appointment only after a minimum gap of three years.</w:t>
      </w:r>
      <w:hyperlink r:id="rId10" w:anchor="F5" w:history="1">
        <w:r w:rsidRPr="00BE0E8C">
          <w:rPr>
            <w:rStyle w:val="Hyperlink"/>
            <w:u w:val="none"/>
            <w:vertAlign w:val="superscript"/>
          </w:rPr>
          <w:t>5</w:t>
        </w:r>
      </w:hyperlink>
      <w:r w:rsidRPr="00BE0E8C">
        <w:rPr>
          <w:color w:val="000000"/>
        </w:rPr>
        <w:t> This will not preclude him/her from being appointed as a director in another bank subject to meeting the requirements.</w:t>
      </w:r>
    </w:p>
    <w:p w:rsidR="00C47E72" w:rsidRPr="00BE0E8C" w:rsidRDefault="00C47E72" w:rsidP="00C47E72">
      <w:pPr>
        <w:pStyle w:val="NormalWeb"/>
        <w:shd w:val="clear" w:color="auto" w:fill="FFFFFF"/>
        <w:spacing w:before="0" w:beforeAutospacing="0" w:after="0" w:afterAutospacing="0"/>
        <w:jc w:val="both"/>
        <w:rPr>
          <w:color w:val="000000"/>
        </w:rPr>
      </w:pPr>
    </w:p>
    <w:p w:rsidR="00C47E72" w:rsidRPr="00BE0E8C" w:rsidRDefault="00C47E72" w:rsidP="00C47E72">
      <w:pPr>
        <w:pStyle w:val="head"/>
        <w:shd w:val="clear" w:color="auto" w:fill="FFFFFF"/>
        <w:spacing w:before="0" w:beforeAutospacing="0" w:after="0" w:afterAutospacing="0"/>
        <w:jc w:val="both"/>
        <w:rPr>
          <w:b/>
          <w:bCs/>
          <w:color w:val="000000"/>
        </w:rPr>
      </w:pPr>
      <w:r w:rsidRPr="00BE0E8C">
        <w:rPr>
          <w:b/>
          <w:bCs/>
          <w:color w:val="000000"/>
        </w:rPr>
        <w:t>Remuneration of NEDs</w:t>
      </w:r>
    </w:p>
    <w:p w:rsidR="00C47E72" w:rsidRPr="00BE0E8C" w:rsidRDefault="00C47E72" w:rsidP="00C47E72">
      <w:pPr>
        <w:pStyle w:val="NormalWeb"/>
        <w:shd w:val="clear" w:color="auto" w:fill="FFFFFF"/>
        <w:spacing w:before="0" w:beforeAutospacing="0" w:after="0" w:afterAutospacing="0"/>
        <w:jc w:val="both"/>
        <w:rPr>
          <w:color w:val="000000"/>
        </w:rPr>
      </w:pPr>
      <w:r w:rsidRPr="00BE0E8C">
        <w:rPr>
          <w:color w:val="000000"/>
        </w:rPr>
        <w:t>9. In addition to sitting fees and expenses related to attending meetings of the board and its committees as per extant statutory norms/ practices, the bank may provide for payment of compensation to NEDs in the form of a fixed remuneration commensurate with an individual director’s responsibilities and demands on time and which are considered sufficient to attract qualified competent individuals. However, such fixed remuneration for an NED, other than the Chair of the board, shall not exceed ₹20 lakh per annum</w:t>
      </w:r>
      <w:hyperlink r:id="rId11" w:anchor="F6" w:history="1">
        <w:r w:rsidRPr="00BE0E8C">
          <w:rPr>
            <w:rStyle w:val="Hyperlink"/>
            <w:u w:val="none"/>
            <w:vertAlign w:val="superscript"/>
          </w:rPr>
          <w:t>6</w:t>
        </w:r>
      </w:hyperlink>
      <w:r w:rsidRPr="00BE0E8C">
        <w:rPr>
          <w:color w:val="000000"/>
        </w:rPr>
        <w:t>.</w:t>
      </w:r>
    </w:p>
    <w:p w:rsidR="00C47E72" w:rsidRPr="00BE0E8C" w:rsidRDefault="00C47E72" w:rsidP="00C47E72">
      <w:pPr>
        <w:pStyle w:val="NormalWeb"/>
        <w:shd w:val="clear" w:color="auto" w:fill="FFFFFF"/>
        <w:spacing w:before="0" w:beforeAutospacing="0" w:after="0" w:afterAutospacing="0"/>
        <w:jc w:val="both"/>
        <w:rPr>
          <w:color w:val="000000"/>
        </w:rPr>
      </w:pPr>
    </w:p>
    <w:p w:rsidR="00C47E72" w:rsidRPr="00BE0E8C" w:rsidRDefault="00C47E72" w:rsidP="00C47E72">
      <w:pPr>
        <w:pStyle w:val="head"/>
        <w:shd w:val="clear" w:color="auto" w:fill="FFFFFF"/>
        <w:spacing w:before="0" w:beforeAutospacing="0" w:after="0" w:afterAutospacing="0"/>
        <w:jc w:val="both"/>
        <w:rPr>
          <w:b/>
          <w:bCs/>
          <w:color w:val="000000"/>
        </w:rPr>
      </w:pPr>
      <w:r w:rsidRPr="00BE0E8C">
        <w:rPr>
          <w:b/>
          <w:bCs/>
          <w:color w:val="000000"/>
        </w:rPr>
        <w:t>Tenure of MD&amp;CEO and WTDs</w:t>
      </w:r>
    </w:p>
    <w:p w:rsidR="00C47E72" w:rsidRPr="00BE0E8C" w:rsidRDefault="00C47E72" w:rsidP="00C47E72">
      <w:pPr>
        <w:pStyle w:val="NormalWeb"/>
        <w:shd w:val="clear" w:color="auto" w:fill="FFFFFF"/>
        <w:spacing w:before="0" w:beforeAutospacing="0" w:after="0" w:afterAutospacing="0"/>
        <w:jc w:val="both"/>
        <w:rPr>
          <w:color w:val="000000"/>
        </w:rPr>
      </w:pPr>
      <w:r w:rsidRPr="00BE0E8C">
        <w:rPr>
          <w:color w:val="000000"/>
        </w:rPr>
        <w:t>10. Subject to the statutory approvals required from time to time, the post of the MD&amp;CEO or WTD cannot be held by the same incumbent for more than 15 years. Thereafter, the individual will be eligible for re-appointment as MD&amp;CEO or WTD in the same bank, if considered necessary and desirable by the board, after a minimum gap of three years, subject to meeting other conditions. During this three-year cooling period, the individual shall not be appointed or associated with the bank or its group entities in any capacity, either directly or indirectly.</w:t>
      </w:r>
    </w:p>
    <w:p w:rsidR="00C47E72" w:rsidRPr="00BE0E8C" w:rsidRDefault="00C47E72" w:rsidP="00C47E72">
      <w:pPr>
        <w:pStyle w:val="NormalWeb"/>
        <w:shd w:val="clear" w:color="auto" w:fill="FFFFFF"/>
        <w:spacing w:before="0" w:beforeAutospacing="0" w:after="0" w:afterAutospacing="0"/>
        <w:jc w:val="both"/>
        <w:rPr>
          <w:color w:val="000000"/>
        </w:rPr>
      </w:pPr>
    </w:p>
    <w:p w:rsidR="00C47E72" w:rsidRPr="00BE0E8C" w:rsidRDefault="00C47E72" w:rsidP="00C47E72">
      <w:pPr>
        <w:pStyle w:val="NormalWeb"/>
        <w:shd w:val="clear" w:color="auto" w:fill="FFFFFF"/>
        <w:spacing w:before="0" w:beforeAutospacing="0" w:after="0" w:afterAutospacing="0"/>
        <w:jc w:val="both"/>
        <w:rPr>
          <w:color w:val="000000"/>
        </w:rPr>
      </w:pPr>
      <w:r w:rsidRPr="00BE0E8C">
        <w:rPr>
          <w:color w:val="000000"/>
        </w:rPr>
        <w:t>11. It is clarified that the extant instructions on upper age limit for MD&amp;CEO and WTDs in the private sector banks would continue and no person can continue as MD&amp;CEO or WTD beyond the age of 70 years. Within the overall limit of 70 years, as part of their internal policy, individual bank's Boards are free to prescribe a lower retirement age for the WTDs, including the MD&amp;CEO.</w:t>
      </w:r>
    </w:p>
    <w:p w:rsidR="00C47E72" w:rsidRPr="00BE0E8C" w:rsidRDefault="00C47E72" w:rsidP="00C47E72">
      <w:pPr>
        <w:pStyle w:val="NormalWeb"/>
        <w:shd w:val="clear" w:color="auto" w:fill="FFFFFF"/>
        <w:spacing w:before="0" w:beforeAutospacing="0" w:after="0" w:afterAutospacing="0"/>
        <w:jc w:val="both"/>
        <w:rPr>
          <w:color w:val="000000"/>
        </w:rPr>
      </w:pPr>
    </w:p>
    <w:p w:rsidR="00C47E72" w:rsidRPr="00BE0E8C" w:rsidRDefault="00C47E72" w:rsidP="00C47E72">
      <w:pPr>
        <w:pStyle w:val="NormalWeb"/>
        <w:shd w:val="clear" w:color="auto" w:fill="FFFFFF"/>
        <w:spacing w:before="0" w:beforeAutospacing="0" w:after="0" w:afterAutospacing="0"/>
        <w:jc w:val="both"/>
        <w:rPr>
          <w:color w:val="000000"/>
        </w:rPr>
      </w:pPr>
      <w:r w:rsidRPr="00BE0E8C">
        <w:rPr>
          <w:color w:val="000000"/>
        </w:rPr>
        <w:lastRenderedPageBreak/>
        <w:t xml:space="preserve">12. MD&amp;CEO or WTD who is also a promoter/ major shareholder, cannot hold these posts for more than 12 years. However, in extraordinary circumstances, at the sole discretion of the Reserve Bank such MD&amp;CEO or WTDs may be allowed to continue up to 15 years. While examining the matter of re-appointment of such MD&amp;CEOs or WTDs within the 12/15 </w:t>
      </w:r>
      <w:proofErr w:type="gramStart"/>
      <w:r w:rsidRPr="00BE0E8C">
        <w:rPr>
          <w:color w:val="000000"/>
        </w:rPr>
        <w:t>years</w:t>
      </w:r>
      <w:proofErr w:type="gramEnd"/>
      <w:r w:rsidRPr="00BE0E8C">
        <w:rPr>
          <w:color w:val="000000"/>
        </w:rPr>
        <w:t xml:space="preserve"> period, the level of progress and adherence to the milestones for dilution of promoters’ shareholding in the bank shall also be factored in by the Reserve Bank.</w:t>
      </w:r>
    </w:p>
    <w:p w:rsidR="00C47E72" w:rsidRPr="00BE0E8C" w:rsidRDefault="00C47E72" w:rsidP="00C47E72">
      <w:pPr>
        <w:pStyle w:val="NormalWeb"/>
        <w:shd w:val="clear" w:color="auto" w:fill="FFFFFF"/>
        <w:spacing w:before="0" w:beforeAutospacing="0" w:after="0" w:afterAutospacing="0"/>
        <w:jc w:val="both"/>
        <w:rPr>
          <w:color w:val="000000"/>
        </w:rPr>
      </w:pPr>
    </w:p>
    <w:p w:rsidR="00C47E72" w:rsidRPr="00BE0E8C" w:rsidRDefault="00C47E72" w:rsidP="00C47E72">
      <w:pPr>
        <w:pStyle w:val="head"/>
        <w:shd w:val="clear" w:color="auto" w:fill="FFFFFF"/>
        <w:spacing w:before="0" w:beforeAutospacing="0" w:after="0" w:afterAutospacing="0"/>
        <w:jc w:val="both"/>
        <w:rPr>
          <w:b/>
          <w:bCs/>
          <w:color w:val="000000"/>
        </w:rPr>
      </w:pPr>
      <w:r w:rsidRPr="00BE0E8C">
        <w:rPr>
          <w:b/>
          <w:bCs/>
          <w:color w:val="000000"/>
        </w:rPr>
        <w:t>Transition Arrangement</w:t>
      </w:r>
    </w:p>
    <w:p w:rsidR="00C47E72" w:rsidRPr="00BE0E8C" w:rsidRDefault="00C47E72" w:rsidP="00C47E72">
      <w:pPr>
        <w:pStyle w:val="NormalWeb"/>
        <w:shd w:val="clear" w:color="auto" w:fill="FFFFFF"/>
        <w:spacing w:before="0" w:beforeAutospacing="0" w:after="0" w:afterAutospacing="0"/>
        <w:jc w:val="both"/>
        <w:rPr>
          <w:color w:val="000000"/>
        </w:rPr>
      </w:pPr>
      <w:r w:rsidRPr="00BE0E8C">
        <w:rPr>
          <w:color w:val="000000"/>
        </w:rPr>
        <w:t>13. While the instructions shall come into effect from the date of issue of this circular, in order to enable smooth transition to the revised requirements, banks are permitted to comply with these instructions latest by October 01, 2021. Specifically:</w:t>
      </w:r>
    </w:p>
    <w:p w:rsidR="00C47E72" w:rsidRPr="00BE0E8C" w:rsidRDefault="00C47E72" w:rsidP="00C47E72">
      <w:pPr>
        <w:pStyle w:val="NormalWeb"/>
        <w:shd w:val="clear" w:color="auto" w:fill="FFFFFF"/>
        <w:spacing w:before="0" w:beforeAutospacing="0" w:after="0" w:afterAutospacing="0"/>
        <w:jc w:val="both"/>
        <w:rPr>
          <w:color w:val="000000"/>
        </w:rPr>
      </w:pPr>
      <w:r w:rsidRPr="00BE0E8C">
        <w:rPr>
          <w:color w:val="000000"/>
        </w:rPr>
        <w:t>(i) The Chair of board who is not an independent director on the date of issue of this circular shall be allowed to complete the current term as Chair as already approved by the Reserve Bank.</w:t>
      </w:r>
    </w:p>
    <w:p w:rsidR="00C47E72" w:rsidRPr="00BE0E8C" w:rsidRDefault="00C47E72" w:rsidP="00C47E72">
      <w:pPr>
        <w:pStyle w:val="NormalWeb"/>
        <w:shd w:val="clear" w:color="auto" w:fill="FFFFFF"/>
        <w:spacing w:before="0" w:beforeAutospacing="0" w:after="0" w:afterAutospacing="0"/>
        <w:jc w:val="both"/>
        <w:rPr>
          <w:color w:val="000000"/>
        </w:rPr>
      </w:pPr>
      <w:r w:rsidRPr="00BE0E8C">
        <w:rPr>
          <w:color w:val="000000"/>
        </w:rPr>
        <w:t>(ii) Banks with MD&amp;CEOs or WTDs who have already completed 12/15 years as MD&amp;CEO or WTD, on the date these instructions coming to effect, shall be allowed to complete their current term as already approved by the Reserve Bank.</w:t>
      </w:r>
    </w:p>
    <w:p w:rsidR="00C47E72" w:rsidRPr="00BE0E8C" w:rsidRDefault="00C47E72" w:rsidP="00C47E72">
      <w:pPr>
        <w:pStyle w:val="NormalWeb"/>
        <w:pBdr>
          <w:bottom w:val="single" w:sz="12" w:space="1" w:color="auto"/>
        </w:pBdr>
        <w:shd w:val="clear" w:color="auto" w:fill="FFFFFF"/>
        <w:spacing w:before="0" w:beforeAutospacing="0" w:after="0" w:afterAutospacing="0"/>
        <w:jc w:val="both"/>
        <w:rPr>
          <w:color w:val="000000"/>
        </w:rPr>
      </w:pPr>
    </w:p>
    <w:p w:rsidR="00C47E72" w:rsidRPr="00BE0E8C" w:rsidRDefault="00C47E72" w:rsidP="00C47E72">
      <w:pPr>
        <w:pStyle w:val="NormalWeb"/>
        <w:pBdr>
          <w:bottom w:val="single" w:sz="12" w:space="1" w:color="auto"/>
        </w:pBdr>
        <w:shd w:val="clear" w:color="auto" w:fill="FFFFFF"/>
        <w:spacing w:before="0" w:beforeAutospacing="0" w:after="0" w:afterAutospacing="0"/>
        <w:jc w:val="both"/>
        <w:rPr>
          <w:color w:val="000000"/>
        </w:rPr>
      </w:pPr>
      <w:hyperlink r:id="rId12" w:history="1">
        <w:r w:rsidRPr="00BE0E8C">
          <w:rPr>
            <w:rStyle w:val="Hyperlink"/>
          </w:rPr>
          <w:t>https://www.rbi.org.in/Scripts/NotificationUser.aspx?Id=12078&amp;Mode=0</w:t>
        </w:r>
      </w:hyperlink>
    </w:p>
    <w:p w:rsidR="00AC2BF8" w:rsidRDefault="003C0F13"/>
    <w:p w:rsidR="00C47E72" w:rsidRDefault="00C47E72"/>
    <w:p w:rsidR="00C47E72" w:rsidRPr="00BE0E8C" w:rsidRDefault="00C47E72" w:rsidP="00C47E72">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Loans and advances to directors, their relatives, and firms / concerns in which they are interested</w:t>
      </w:r>
    </w:p>
    <w:p w:rsidR="00C47E72" w:rsidRPr="00BE0E8C" w:rsidRDefault="00C47E72" w:rsidP="00C47E72">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C47E72" w:rsidRPr="00BE0E8C" w:rsidRDefault="00C47E72" w:rsidP="00C47E72">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 xml:space="preserve">RBI/2020-21/89 </w:t>
      </w:r>
      <w:proofErr w:type="gramStart"/>
      <w:r w:rsidRPr="00BE0E8C">
        <w:rPr>
          <w:rFonts w:ascii="Times New Roman" w:eastAsia="Times New Roman" w:hAnsi="Times New Roman" w:cs="Times New Roman"/>
          <w:b/>
          <w:color w:val="000000"/>
          <w:sz w:val="24"/>
          <w:szCs w:val="24"/>
          <w:lang w:eastAsia="en-IN"/>
        </w:rPr>
        <w:t>DOR.CRG.CRS.Cir.No.</w:t>
      </w:r>
      <w:proofErr w:type="gramEnd"/>
      <w:r w:rsidRPr="00BE0E8C">
        <w:rPr>
          <w:rFonts w:ascii="Times New Roman" w:eastAsia="Times New Roman" w:hAnsi="Times New Roman" w:cs="Times New Roman"/>
          <w:b/>
          <w:color w:val="000000"/>
          <w:sz w:val="24"/>
          <w:szCs w:val="24"/>
          <w:lang w:eastAsia="en-IN"/>
        </w:rPr>
        <w:t>5/13.05.000/2020-21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February 5, 2021</w:t>
      </w:r>
    </w:p>
    <w:p w:rsidR="00C47E72" w:rsidRPr="00BE0E8C" w:rsidRDefault="00C47E72" w:rsidP="00C47E72">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C47E72" w:rsidRPr="00BE0E8C" w:rsidRDefault="00C47E72" w:rsidP="00C47E72">
      <w:pPr>
        <w:shd w:val="clear" w:color="auto" w:fill="FFFFFF"/>
        <w:spacing w:after="0" w:line="240" w:lineRule="auto"/>
        <w:jc w:val="both"/>
        <w:rPr>
          <w:rFonts w:ascii="Times New Roman" w:eastAsia="Times New Roman" w:hAnsi="Times New Roman" w:cs="Times New Roman"/>
          <w:i/>
          <w:color w:val="000000"/>
          <w:sz w:val="24"/>
          <w:szCs w:val="24"/>
          <w:lang w:eastAsia="en-IN"/>
        </w:rPr>
      </w:pPr>
      <w:r w:rsidRPr="00BE0E8C">
        <w:rPr>
          <w:rFonts w:ascii="Times New Roman" w:eastAsia="Times New Roman" w:hAnsi="Times New Roman" w:cs="Times New Roman"/>
          <w:i/>
          <w:color w:val="000000"/>
          <w:sz w:val="24"/>
          <w:szCs w:val="24"/>
          <w:lang w:eastAsia="en-IN"/>
        </w:rPr>
        <w:t>The Managing Director / Chief Executive Officer, All Primary (Urban) Co-operative Banks</w:t>
      </w:r>
    </w:p>
    <w:p w:rsidR="00C47E72" w:rsidRPr="00BE0E8C" w:rsidRDefault="00C47E72" w:rsidP="00C47E72">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C47E72" w:rsidRPr="00BE0E8C" w:rsidRDefault="00C47E72" w:rsidP="00C47E72">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Please refer to our </w:t>
      </w:r>
      <w:hyperlink r:id="rId13" w:tgtFrame="_blank" w:history="1">
        <w:r w:rsidRPr="00BE0E8C">
          <w:rPr>
            <w:rFonts w:ascii="Times New Roman" w:eastAsia="Times New Roman" w:hAnsi="Times New Roman" w:cs="Times New Roman"/>
            <w:color w:val="0000FF"/>
            <w:sz w:val="24"/>
            <w:szCs w:val="24"/>
            <w:u w:val="single"/>
            <w:lang w:eastAsia="en-IN"/>
          </w:rPr>
          <w:t>circular BPD.Cir.50/13.05.00/2002-03 dated April 29, 2003</w:t>
        </w:r>
      </w:hyperlink>
      <w:r w:rsidRPr="00BE0E8C">
        <w:rPr>
          <w:rFonts w:ascii="Times New Roman" w:eastAsia="Times New Roman" w:hAnsi="Times New Roman" w:cs="Times New Roman"/>
          <w:color w:val="000000"/>
          <w:sz w:val="24"/>
          <w:szCs w:val="24"/>
          <w:lang w:eastAsia="en-IN"/>
        </w:rPr>
        <w:t> on the captioned subject and subsequent instructions issued in this regard.</w:t>
      </w:r>
    </w:p>
    <w:p w:rsidR="00C47E72" w:rsidRPr="00BE0E8C" w:rsidRDefault="00C47E72" w:rsidP="00C47E72">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C47E72" w:rsidRPr="00BE0E8C" w:rsidRDefault="00C47E72" w:rsidP="00C47E72">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 The Banking Regulation Act, 1949 (</w:t>
      </w:r>
      <w:r w:rsidRPr="00BE0E8C">
        <w:rPr>
          <w:rFonts w:ascii="Times New Roman" w:eastAsia="Times New Roman" w:hAnsi="Times New Roman" w:cs="Times New Roman"/>
          <w:b/>
          <w:bCs/>
          <w:color w:val="000000"/>
          <w:sz w:val="24"/>
          <w:szCs w:val="24"/>
          <w:lang w:eastAsia="en-IN"/>
        </w:rPr>
        <w:t>“the Act”</w:t>
      </w:r>
      <w:r w:rsidRPr="00BE0E8C">
        <w:rPr>
          <w:rFonts w:ascii="Times New Roman" w:eastAsia="Times New Roman" w:hAnsi="Times New Roman" w:cs="Times New Roman"/>
          <w:color w:val="000000"/>
          <w:sz w:val="24"/>
          <w:szCs w:val="24"/>
          <w:lang w:eastAsia="en-IN"/>
        </w:rPr>
        <w:t>) has been amended by the Banking Regulation (Amendment) Act, 2020 notified for the Primary (Urban) Co-operative Banks (</w:t>
      </w:r>
      <w:r w:rsidRPr="00BE0E8C">
        <w:rPr>
          <w:rFonts w:ascii="Times New Roman" w:eastAsia="Times New Roman" w:hAnsi="Times New Roman" w:cs="Times New Roman"/>
          <w:b/>
          <w:bCs/>
          <w:color w:val="000000"/>
          <w:sz w:val="24"/>
          <w:szCs w:val="24"/>
          <w:lang w:eastAsia="en-IN"/>
        </w:rPr>
        <w:t>UCBs</w:t>
      </w:r>
      <w:r w:rsidRPr="00BE0E8C">
        <w:rPr>
          <w:rFonts w:ascii="Times New Roman" w:eastAsia="Times New Roman" w:hAnsi="Times New Roman" w:cs="Times New Roman"/>
          <w:color w:val="000000"/>
          <w:sz w:val="24"/>
          <w:szCs w:val="24"/>
          <w:lang w:eastAsia="en-IN"/>
        </w:rPr>
        <w:t>) on September 29, 2020 and deemed to have been effective from June 29, 2020. Consequently, section 20 of the principal Act has become applicable to UCBs. Keeping in view the above, the extant directions on the subject issued to UCBs have been reviewed and the revised directions are issued as under.</w:t>
      </w:r>
    </w:p>
    <w:p w:rsidR="00C47E72" w:rsidRPr="00BE0E8C" w:rsidRDefault="00C47E72" w:rsidP="00C47E72">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C47E72" w:rsidRPr="00BE0E8C" w:rsidRDefault="00C47E72" w:rsidP="00C47E72">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 UCBs shall not make, provide or renew any loans and advances or extend any other financial accommodation to or on behalf of their directors or their relatives, or to the firms / companies / concerns in which the directors or their relatives are interested (collectively called as </w:t>
      </w:r>
      <w:r w:rsidRPr="00BE0E8C">
        <w:rPr>
          <w:rFonts w:ascii="Times New Roman" w:eastAsia="Times New Roman" w:hAnsi="Times New Roman" w:cs="Times New Roman"/>
          <w:b/>
          <w:bCs/>
          <w:color w:val="000000"/>
          <w:sz w:val="24"/>
          <w:szCs w:val="24"/>
          <w:lang w:eastAsia="en-IN"/>
        </w:rPr>
        <w:t>“director-related loans”</w:t>
      </w:r>
      <w:r w:rsidRPr="00BE0E8C">
        <w:rPr>
          <w:rFonts w:ascii="Times New Roman" w:eastAsia="Times New Roman" w:hAnsi="Times New Roman" w:cs="Times New Roman"/>
          <w:color w:val="000000"/>
          <w:sz w:val="24"/>
          <w:szCs w:val="24"/>
          <w:lang w:eastAsia="en-IN"/>
        </w:rPr>
        <w:t>). Further, the directors or their relatives or the firms / companies / concerns in which the directors or their relatives are interested shall also not stand as surety/guarantor to the loans and advances or any other financial accommodation sanctioned by UCBs. ‘Advances’ for the purpose shall include all types of funded / working capital limits such as cash credits, overdrafts, credit cards, etc.</w:t>
      </w:r>
    </w:p>
    <w:p w:rsidR="00C47E72" w:rsidRPr="00BE0E8C" w:rsidRDefault="00C47E72" w:rsidP="00C47E72">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C47E72" w:rsidRPr="00BE0E8C" w:rsidRDefault="00C47E72" w:rsidP="00C47E72">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 The following categories of director-related loans shall, however, be excluded from “loans and advances” for the purpose of these directions:</w:t>
      </w:r>
    </w:p>
    <w:p w:rsidR="00C47E72" w:rsidRPr="00BE0E8C" w:rsidRDefault="00C47E72" w:rsidP="00C47E72">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lastRenderedPageBreak/>
        <w:t>Regular employee-related loans to staff directors, if any, on the Boards of UCBs;</w:t>
      </w:r>
    </w:p>
    <w:p w:rsidR="00C47E72" w:rsidRPr="00BE0E8C" w:rsidRDefault="00C47E72" w:rsidP="00C47E72">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Normal loans, as applicable to members, to the directors on the Boards of Salary Earners' UCBs;</w:t>
      </w:r>
    </w:p>
    <w:p w:rsidR="00C47E72" w:rsidRPr="00BE0E8C" w:rsidRDefault="00C47E72" w:rsidP="00C47E72">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Normal employee-related loans to Managing Directors / Chief Executive Officers of UCBs;</w:t>
      </w:r>
    </w:p>
    <w:p w:rsidR="00C47E72" w:rsidRPr="00BE0E8C" w:rsidRDefault="00C47E72" w:rsidP="00C47E72">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Loans to directors or their relatives against Government Securities, Fixed Deposits and Life Insurance Policies standing in their own name.</w:t>
      </w:r>
    </w:p>
    <w:p w:rsidR="00C47E72" w:rsidRPr="00BE0E8C" w:rsidRDefault="00C47E72" w:rsidP="00C47E72">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C47E72" w:rsidRPr="00BE0E8C" w:rsidRDefault="00C47E72" w:rsidP="00C47E72">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b/>
          <w:bCs/>
          <w:color w:val="000000"/>
          <w:sz w:val="24"/>
          <w:szCs w:val="24"/>
          <w:lang w:eastAsia="en-IN"/>
        </w:rPr>
        <w:t>Explanation:</w:t>
      </w:r>
      <w:r w:rsidRPr="00BE0E8C">
        <w:rPr>
          <w:rFonts w:ascii="Times New Roman" w:eastAsia="Times New Roman" w:hAnsi="Times New Roman" w:cs="Times New Roman"/>
          <w:color w:val="000000"/>
          <w:sz w:val="24"/>
          <w:szCs w:val="24"/>
          <w:lang w:eastAsia="en-IN"/>
        </w:rPr>
        <w:t> For the purpose of these directions -</w:t>
      </w:r>
    </w:p>
    <w:p w:rsidR="00C47E72" w:rsidRPr="00BE0E8C" w:rsidRDefault="00C47E72" w:rsidP="00C47E72">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 The term 'any other financial accommodation' shall include funded and non-funded credit limits and underwritings and similar commitments, as under:</w:t>
      </w:r>
    </w:p>
    <w:p w:rsidR="00C47E72" w:rsidRPr="00BE0E8C" w:rsidRDefault="00C47E72" w:rsidP="00C47E72">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funded limits shall include loans and advances by way of bill/cheque purchase/ discounting, pre-shipment and post-shipment credit facilities and deferred payment guarantee limits extended for any purpose including purchase of capital equipment and acceptance limits in connection therewith sanctioned to borrowers, and guarantees by issue of which a bank undertakes financial obligation to enable its constituents to acquire capital assets. It shall also include investments which are in the nature of / in lieu of credit.</w:t>
      </w:r>
    </w:p>
    <w:p w:rsidR="00C47E72" w:rsidRPr="00BE0E8C" w:rsidRDefault="00C47E72" w:rsidP="00C47E72">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non-funded limits shall include letters of credit, guarantees other than those referred to in paragraph (a) above, underwritings and similar commitments. It shall also include off-balance sheet exposure in the form of derivatives.</w:t>
      </w:r>
    </w:p>
    <w:p w:rsidR="00C47E72" w:rsidRPr="00BE0E8C" w:rsidRDefault="00C47E72" w:rsidP="00C47E72">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C47E72" w:rsidRPr="00BE0E8C" w:rsidRDefault="00C47E72" w:rsidP="00C47E72">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II. The word “relative” shall have the meaning as under:</w:t>
      </w:r>
    </w:p>
    <w:p w:rsidR="00C47E72" w:rsidRPr="00BE0E8C" w:rsidRDefault="00C47E72" w:rsidP="00C47E72">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A person shall be deemed to be a relative of another, if and only </w:t>
      </w:r>
      <w:proofErr w:type="gramStart"/>
      <w:r w:rsidRPr="00BE0E8C">
        <w:rPr>
          <w:rFonts w:ascii="Times New Roman" w:eastAsia="Times New Roman" w:hAnsi="Times New Roman" w:cs="Times New Roman"/>
          <w:color w:val="000000"/>
          <w:sz w:val="24"/>
          <w:szCs w:val="24"/>
          <w:lang w:eastAsia="en-IN"/>
        </w:rPr>
        <w:t>if:-</w:t>
      </w:r>
      <w:proofErr w:type="gramEnd"/>
    </w:p>
    <w:p w:rsidR="00C47E72" w:rsidRPr="00BE0E8C" w:rsidRDefault="00C47E72" w:rsidP="00C47E72">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 They are members of a Hindu Undivided Family; or</w:t>
      </w:r>
    </w:p>
    <w:p w:rsidR="00C47E72" w:rsidRPr="00BE0E8C" w:rsidRDefault="00C47E72" w:rsidP="00C47E72">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b) They are husband and wife; or</w:t>
      </w:r>
    </w:p>
    <w:p w:rsidR="00C47E72" w:rsidRPr="00BE0E8C" w:rsidRDefault="00C47E72" w:rsidP="00C47E72">
      <w:pPr>
        <w:pStyle w:val="ListParagraph"/>
        <w:shd w:val="clear" w:color="auto" w:fill="FFFFFF"/>
        <w:spacing w:after="0" w:line="240" w:lineRule="auto"/>
        <w:ind w:left="0"/>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c) The one is related to the other (or vice-versa) in the manner indicated below:</w:t>
      </w:r>
    </w:p>
    <w:p w:rsidR="00C47E72" w:rsidRPr="00BE0E8C" w:rsidRDefault="00C47E72" w:rsidP="00C47E72">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Father (including step-father)</w:t>
      </w:r>
    </w:p>
    <w:p w:rsidR="00C47E72" w:rsidRPr="00BE0E8C" w:rsidRDefault="00C47E72" w:rsidP="00C47E72">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Mother (including step-mother)</w:t>
      </w:r>
    </w:p>
    <w:p w:rsidR="00C47E72" w:rsidRPr="00BE0E8C" w:rsidRDefault="00C47E72" w:rsidP="00C47E72">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Son (including step-son)</w:t>
      </w:r>
    </w:p>
    <w:p w:rsidR="00C47E72" w:rsidRPr="00BE0E8C" w:rsidRDefault="00C47E72" w:rsidP="00C47E72">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Son’s wife</w:t>
      </w:r>
    </w:p>
    <w:p w:rsidR="00C47E72" w:rsidRPr="00BE0E8C" w:rsidRDefault="00C47E72" w:rsidP="00C47E72">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Daughter (including step-daughter)</w:t>
      </w:r>
    </w:p>
    <w:p w:rsidR="00C47E72" w:rsidRPr="00BE0E8C" w:rsidRDefault="00C47E72" w:rsidP="00C47E72">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Daughter’s husband</w:t>
      </w:r>
    </w:p>
    <w:p w:rsidR="00C47E72" w:rsidRPr="00BE0E8C" w:rsidRDefault="00C47E72" w:rsidP="00C47E72">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Brother (including step-brother)</w:t>
      </w:r>
    </w:p>
    <w:p w:rsidR="00C47E72" w:rsidRPr="00BE0E8C" w:rsidRDefault="00C47E72" w:rsidP="00C47E72">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Brother’s wife</w:t>
      </w:r>
    </w:p>
    <w:p w:rsidR="00C47E72" w:rsidRPr="00BE0E8C" w:rsidRDefault="00C47E72" w:rsidP="00C47E72">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Sister (including step-sister)</w:t>
      </w:r>
    </w:p>
    <w:p w:rsidR="00C47E72" w:rsidRPr="00BE0E8C" w:rsidRDefault="00C47E72" w:rsidP="00C47E72">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Sister’s husband</w:t>
      </w:r>
    </w:p>
    <w:p w:rsidR="00C47E72" w:rsidRPr="00BE0E8C" w:rsidRDefault="00C47E72" w:rsidP="00C47E72">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C47E72" w:rsidRPr="00BE0E8C" w:rsidRDefault="00C47E72" w:rsidP="00C47E72">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III. The word “interested” shall mean the director of the UCB or his relative, as the case may be, being a director, managing agent, manager, employee, proprietor, partner, coparcener or guarantor, as the case may be, of the firm / company / concern (including HUF):</w:t>
      </w:r>
    </w:p>
    <w:p w:rsidR="00C47E72" w:rsidRPr="00BE0E8C" w:rsidRDefault="00C47E72" w:rsidP="00C47E72">
      <w:pPr>
        <w:pStyle w:val="ListParagraph"/>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Provided that a director of a UCB or his relative shall also be deemed to be interested in a company, being the subsidiary or holding company, if he/she is a director, managing agent, manager, employee or guarantor of the respective holding or subsidiary company:</w:t>
      </w:r>
    </w:p>
    <w:p w:rsidR="00C47E72" w:rsidRPr="00BE0E8C" w:rsidRDefault="00C47E72" w:rsidP="00C47E72">
      <w:pPr>
        <w:pStyle w:val="ListParagraph"/>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Provided further that a director of a UCB shall also be deemed to be interested in a company/firm if he/she holds substantial interest in or is in control of the company/firm or in a company, being the subsidiary or holding company, if he/she holds substantial interest in or is in control of the respective holding or subsidiary company:</w:t>
      </w:r>
    </w:p>
    <w:p w:rsidR="00C47E72" w:rsidRPr="00BE0E8C" w:rsidRDefault="00C47E72" w:rsidP="00C47E72">
      <w:pPr>
        <w:pStyle w:val="ListParagraph"/>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lastRenderedPageBreak/>
        <w:t>Provided further that a relative of a director of a UCB shall also be deemed to be interested in a company/firm if he/she is a major shareholder or is in control of the company/firm or in a company, being the subsidiary or holding company, if he/she is a major shareholder or is in control of the respective holding or subsidiary company:</w:t>
      </w:r>
    </w:p>
    <w:p w:rsidR="00C47E72" w:rsidRPr="00BE0E8C" w:rsidRDefault="00C47E72" w:rsidP="00C47E72">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C47E72" w:rsidRPr="00BE0E8C" w:rsidRDefault="00C47E72" w:rsidP="00C47E72">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IV. The term “substantial interest” shall have the same meaning as assigned to it in section 5(ne) of the Banking Regulation Act, 1949.</w:t>
      </w:r>
    </w:p>
    <w:p w:rsidR="00C47E72" w:rsidRPr="00BE0E8C" w:rsidRDefault="00C47E72" w:rsidP="00C47E72">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C47E72" w:rsidRPr="00BE0E8C" w:rsidRDefault="00C47E72" w:rsidP="00C47E72">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V. The term “control” shall include the right to appoint majority of the directors or to control the management or policy decisions exercisable by a person or persons acting individually or in concert, directly or indirectly, including by virtue of their shareholding or management rights or </w:t>
      </w:r>
      <w:proofErr w:type="gramStart"/>
      <w:r w:rsidRPr="00BE0E8C">
        <w:rPr>
          <w:rFonts w:ascii="Times New Roman" w:eastAsia="Times New Roman" w:hAnsi="Times New Roman" w:cs="Times New Roman"/>
          <w:color w:val="000000"/>
          <w:sz w:val="24"/>
          <w:szCs w:val="24"/>
          <w:lang w:eastAsia="en-IN"/>
        </w:rPr>
        <w:t>shareholders</w:t>
      </w:r>
      <w:proofErr w:type="gramEnd"/>
      <w:r w:rsidRPr="00BE0E8C">
        <w:rPr>
          <w:rFonts w:ascii="Times New Roman" w:eastAsia="Times New Roman" w:hAnsi="Times New Roman" w:cs="Times New Roman"/>
          <w:color w:val="000000"/>
          <w:sz w:val="24"/>
          <w:szCs w:val="24"/>
          <w:lang w:eastAsia="en-IN"/>
        </w:rPr>
        <w:t xml:space="preserve"> agreements or voting agreements or in another manner.</w:t>
      </w:r>
    </w:p>
    <w:p w:rsidR="00C47E72" w:rsidRPr="00BE0E8C" w:rsidRDefault="00C47E72" w:rsidP="00C47E72">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C47E72" w:rsidRPr="00BE0E8C" w:rsidRDefault="00C47E72" w:rsidP="00C47E72">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VI. The term “major shareholder” shall mean a person holding 10% or more of the paid up share capital.</w:t>
      </w:r>
    </w:p>
    <w:p w:rsidR="00C47E72" w:rsidRPr="00BE0E8C" w:rsidRDefault="00C47E72" w:rsidP="00C47E72">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C47E72" w:rsidRPr="00BE0E8C" w:rsidRDefault="00C47E72" w:rsidP="00C47E72">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 UCBs shall submit information pertaining to their director-related loans as at the end of each quarter (i.e. 31 March, 30 June, 30 September and 31 December), in the format given in the </w:t>
      </w:r>
      <w:hyperlink r:id="rId14" w:tgtFrame="_blank" w:history="1">
        <w:r w:rsidRPr="00BE0E8C">
          <w:rPr>
            <w:rFonts w:ascii="Times New Roman" w:eastAsia="Times New Roman" w:hAnsi="Times New Roman" w:cs="Times New Roman"/>
            <w:color w:val="0000FF"/>
            <w:sz w:val="24"/>
            <w:szCs w:val="24"/>
            <w:u w:val="single"/>
            <w:lang w:eastAsia="en-IN"/>
          </w:rPr>
          <w:t>Annex</w:t>
        </w:r>
      </w:hyperlink>
      <w:r w:rsidRPr="00BE0E8C">
        <w:rPr>
          <w:rFonts w:ascii="Times New Roman" w:eastAsia="Times New Roman" w:hAnsi="Times New Roman" w:cs="Times New Roman"/>
          <w:color w:val="000000"/>
          <w:sz w:val="24"/>
          <w:szCs w:val="24"/>
          <w:lang w:eastAsia="en-IN"/>
        </w:rPr>
        <w:t> to these directions, to the concerned Regional Office of Department of Supervision of Reserve Bank of India within fifteen days from the end of the respective quarter. In the case of UCBs functioning under Administrator(s) / Person(s)-in-Charge / Special Officers, the UCBs concerned should submit the information in respect of loans and advances availed by the Administrator(s) / Person(s)-in-Charge / Special Officers, including their relatives.</w:t>
      </w:r>
    </w:p>
    <w:p w:rsidR="00C47E72" w:rsidRPr="00BE0E8C" w:rsidRDefault="00C47E72" w:rsidP="00C47E72">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C47E72" w:rsidRPr="00BE0E8C" w:rsidRDefault="00C47E72" w:rsidP="00C47E72">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 These directions supersede the earlier directives / instructions issued on the subject and shall come into force immediately. The existing director-related loans sanctioned/granted by UCBs in terms of the earlier directives / instructions prior to the issue of this circular, if any, may continue till their respective maturity and shall not be renewed further.</w:t>
      </w:r>
    </w:p>
    <w:p w:rsidR="00C47E72" w:rsidRPr="00BE0E8C" w:rsidRDefault="00C47E72" w:rsidP="00C47E72">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C47E72" w:rsidRPr="00BE0E8C" w:rsidRDefault="00C47E72" w:rsidP="00C47E72">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7. A copy of this circular should be placed before the Board of Directors of your bank in its ensuing meeting and a confirmation thereof should be sent to the concerned Regional Office of the Department of Supervision of Reserve Bank of India.</w:t>
      </w:r>
    </w:p>
    <w:p w:rsidR="00C47E72" w:rsidRPr="00BE0E8C" w:rsidRDefault="00C47E72" w:rsidP="00C47E72">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C47E72" w:rsidRDefault="00C47E72" w:rsidP="00C47E72">
      <w:pPr>
        <w:pBdr>
          <w:bottom w:val="single" w:sz="12" w:space="1" w:color="auto"/>
        </w:pBdr>
        <w:shd w:val="clear" w:color="auto" w:fill="FFFFFF"/>
        <w:spacing w:after="0" w:line="240" w:lineRule="auto"/>
        <w:jc w:val="both"/>
        <w:rPr>
          <w:rStyle w:val="Hyperlink"/>
          <w:rFonts w:ascii="Times New Roman" w:eastAsia="Times New Roman" w:hAnsi="Times New Roman" w:cs="Times New Roman"/>
          <w:sz w:val="24"/>
          <w:szCs w:val="24"/>
          <w:lang w:eastAsia="en-IN"/>
        </w:rPr>
      </w:pPr>
      <w:hyperlink r:id="rId15" w:history="1">
        <w:r w:rsidRPr="00BE0E8C">
          <w:rPr>
            <w:rStyle w:val="Hyperlink"/>
            <w:rFonts w:ascii="Times New Roman" w:eastAsia="Times New Roman" w:hAnsi="Times New Roman" w:cs="Times New Roman"/>
            <w:sz w:val="24"/>
            <w:szCs w:val="24"/>
            <w:lang w:eastAsia="en-IN"/>
          </w:rPr>
          <w:t>https://www.rbi.org.in/Scripts/NotificationUser.aspx?Id=12019&amp;Mode=0</w:t>
        </w:r>
      </w:hyperlink>
    </w:p>
    <w:p w:rsidR="00C47E72" w:rsidRDefault="00C47E72"/>
    <w:sectPr w:rsidR="00C47E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80090"/>
    <w:multiLevelType w:val="hybridMultilevel"/>
    <w:tmpl w:val="9ADA474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7A1608E"/>
    <w:multiLevelType w:val="multilevel"/>
    <w:tmpl w:val="FFFAA9D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607412BD"/>
    <w:multiLevelType w:val="hybridMultilevel"/>
    <w:tmpl w:val="38D4A13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B9A06BB"/>
    <w:multiLevelType w:val="multilevel"/>
    <w:tmpl w:val="C49293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E72"/>
    <w:rsid w:val="003C0F13"/>
    <w:rsid w:val="00497E16"/>
    <w:rsid w:val="00A90AED"/>
    <w:rsid w:val="00C47E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58C89"/>
  <w15:chartTrackingRefBased/>
  <w15:docId w15:val="{760302B8-DC1D-4E7B-A3EA-0BFD7C43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7E7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C47E7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C47E72"/>
    <w:rPr>
      <w:color w:val="0000FF"/>
      <w:u w:val="single"/>
    </w:rPr>
  </w:style>
  <w:style w:type="paragraph" w:styleId="ListParagraph">
    <w:name w:val="List Paragraph"/>
    <w:basedOn w:val="Normal"/>
    <w:uiPriority w:val="34"/>
    <w:qFormat/>
    <w:rsid w:val="00C47E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NotificationUser.aspx?Id=12078&amp;Mode=0" TargetMode="External"/><Relationship Id="rId13" Type="http://schemas.openxmlformats.org/officeDocument/2006/relationships/hyperlink" Target="https://www.rbi.org.in/Scripts/NotificationUser.aspx?Id=1204&amp;Mode=0" TargetMode="External"/><Relationship Id="rId3" Type="http://schemas.openxmlformats.org/officeDocument/2006/relationships/settings" Target="settings.xml"/><Relationship Id="rId7" Type="http://schemas.openxmlformats.org/officeDocument/2006/relationships/hyperlink" Target="https://www.rbi.org.in/Scripts/NotificationUser.aspx?Id=12078&amp;Mode=0" TargetMode="External"/><Relationship Id="rId12" Type="http://schemas.openxmlformats.org/officeDocument/2006/relationships/hyperlink" Target="https://www.rbi.org.in/Scripts/NotificationUser.aspx?Id=12078&amp;Mode=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rbi.org.in/Scripts/NotificationUser.aspx?Id=12078&amp;Mode=0" TargetMode="External"/><Relationship Id="rId11" Type="http://schemas.openxmlformats.org/officeDocument/2006/relationships/hyperlink" Target="https://www.rbi.org.in/Scripts/NotificationUser.aspx?Id=12078&amp;Mode=0" TargetMode="External"/><Relationship Id="rId5" Type="http://schemas.openxmlformats.org/officeDocument/2006/relationships/hyperlink" Target="https://www.rbi.org.in/Scripts/BS_PressReleaseDisplay.aspx?prid=49937" TargetMode="External"/><Relationship Id="rId15" Type="http://schemas.openxmlformats.org/officeDocument/2006/relationships/hyperlink" Target="https://www.rbi.org.in/Scripts/NotificationUser.aspx?Id=12019&amp;Mode=0" TargetMode="External"/><Relationship Id="rId10" Type="http://schemas.openxmlformats.org/officeDocument/2006/relationships/hyperlink" Target="https://www.rbi.org.in/Scripts/NotificationUser.aspx?Id=12078&amp;Mode=0" TargetMode="External"/><Relationship Id="rId4" Type="http://schemas.openxmlformats.org/officeDocument/2006/relationships/webSettings" Target="webSettings.xml"/><Relationship Id="rId9" Type="http://schemas.openxmlformats.org/officeDocument/2006/relationships/hyperlink" Target="https://www.rbi.org.in/Scripts/NotificationUser.aspx?Id=12078&amp;Mode=0" TargetMode="External"/><Relationship Id="rId14" Type="http://schemas.openxmlformats.org/officeDocument/2006/relationships/hyperlink" Target="https://rbidocs.rbi.org.in/rdocs/content/pdfs/89NOT05022021_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2332</Words>
  <Characters>13293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Priti Agarwal</dc:creator>
  <cp:keywords/>
  <dc:description/>
  <cp:lastModifiedBy>Priti Agarwal</cp:lastModifiedBy>
  <cp:revision>3</cp:revision>
  <dcterms:created xsi:type="dcterms:W3CDTF">2021-07-17T10:02:00Z</dcterms:created>
  <dcterms:modified xsi:type="dcterms:W3CDTF">2021-07-17T10:06:00Z</dcterms:modified>
</cp:coreProperties>
</file>