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D54015">
      <w:pPr>
        <w:rPr>
          <w:b/>
          <w:color w:val="2E74B5" w:themeColor="accent1" w:themeShade="BF"/>
          <w:sz w:val="24"/>
        </w:rPr>
      </w:pPr>
      <w:bookmarkStart w:id="0" w:name="_GoBack"/>
      <w:bookmarkEnd w:id="0"/>
      <w:r>
        <w:rPr>
          <w:b/>
          <w:color w:val="2E74B5" w:themeColor="accent1" w:themeShade="BF"/>
          <w:sz w:val="24"/>
        </w:rPr>
        <w:t>Debt Recovery Agents</w:t>
      </w:r>
    </w:p>
    <w:tbl>
      <w:tblPr>
        <w:tblW w:w="9320" w:type="dxa"/>
        <w:tblLook w:val="04A0" w:firstRow="1" w:lastRow="0" w:firstColumn="1" w:lastColumn="0" w:noHBand="0" w:noVBand="1"/>
      </w:tblPr>
      <w:tblGrid>
        <w:gridCol w:w="779"/>
        <w:gridCol w:w="8541"/>
      </w:tblGrid>
      <w:tr w:rsidR="00BF62C5" w:rsidRPr="000A24A2" w:rsidTr="000A24A2">
        <w:trPr>
          <w:trHeight w:val="510"/>
        </w:trPr>
        <w:tc>
          <w:tcPr>
            <w:tcW w:w="715" w:type="dxa"/>
            <w:tcBorders>
              <w:top w:val="single" w:sz="4" w:space="0" w:color="auto"/>
              <w:left w:val="single" w:sz="4" w:space="0" w:color="auto"/>
              <w:bottom w:val="single" w:sz="4" w:space="0" w:color="auto"/>
              <w:right w:val="single" w:sz="4" w:space="0" w:color="auto"/>
            </w:tcBorders>
          </w:tcPr>
          <w:p w:rsidR="00BF62C5" w:rsidRPr="000A24A2" w:rsidRDefault="00BF62C5" w:rsidP="000A24A2">
            <w:pPr>
              <w:spacing w:after="0" w:line="240" w:lineRule="auto"/>
              <w:jc w:val="center"/>
              <w:rPr>
                <w:rFonts w:ascii="Calibri" w:eastAsia="Times New Roman" w:hAnsi="Calibri" w:cs="Calibri"/>
                <w:b/>
                <w:bCs/>
                <w:color w:val="000000"/>
                <w:szCs w:val="20"/>
              </w:rPr>
            </w:pPr>
            <w:proofErr w:type="spellStart"/>
            <w:r w:rsidRPr="000A24A2">
              <w:rPr>
                <w:rFonts w:ascii="Calibri" w:eastAsia="Times New Roman" w:hAnsi="Calibri" w:cs="Calibri"/>
                <w:b/>
                <w:bCs/>
                <w:color w:val="000000"/>
                <w:szCs w:val="20"/>
              </w:rPr>
              <w:t>Sr.No</w:t>
            </w:r>
            <w:proofErr w:type="spellEnd"/>
            <w:r w:rsidRPr="000A24A2">
              <w:rPr>
                <w:rFonts w:ascii="Calibri" w:eastAsia="Times New Roman" w:hAnsi="Calibri" w:cs="Calibri"/>
                <w:b/>
                <w:bCs/>
                <w:color w:val="000000"/>
                <w:szCs w:val="20"/>
              </w:rPr>
              <w:t>.</w:t>
            </w:r>
          </w:p>
        </w:tc>
        <w:tc>
          <w:tcPr>
            <w:tcW w:w="8605" w:type="dxa"/>
            <w:tcBorders>
              <w:top w:val="single" w:sz="4" w:space="0" w:color="auto"/>
              <w:left w:val="single" w:sz="4" w:space="0" w:color="auto"/>
              <w:bottom w:val="single" w:sz="4" w:space="0" w:color="auto"/>
              <w:right w:val="single" w:sz="4" w:space="0" w:color="auto"/>
            </w:tcBorders>
            <w:shd w:val="clear" w:color="auto" w:fill="auto"/>
            <w:hideMark/>
          </w:tcPr>
          <w:p w:rsidR="00BF62C5" w:rsidRPr="000A24A2" w:rsidRDefault="00BF62C5" w:rsidP="000A24A2">
            <w:pPr>
              <w:spacing w:after="0" w:line="240" w:lineRule="auto"/>
              <w:jc w:val="center"/>
              <w:rPr>
                <w:rFonts w:ascii="Calibri" w:eastAsia="Times New Roman" w:hAnsi="Calibri" w:cs="Calibri"/>
                <w:b/>
                <w:bCs/>
                <w:color w:val="000000"/>
                <w:szCs w:val="20"/>
              </w:rPr>
            </w:pPr>
            <w:r w:rsidRPr="000A24A2">
              <w:rPr>
                <w:rFonts w:ascii="Calibri" w:eastAsia="Times New Roman" w:hAnsi="Calibri" w:cs="Calibri"/>
                <w:b/>
                <w:bCs/>
                <w:color w:val="000000"/>
                <w:szCs w:val="20"/>
              </w:rPr>
              <w:t>RBI Notifications</w:t>
            </w:r>
          </w:p>
        </w:tc>
      </w:tr>
      <w:tr w:rsidR="00BF62C5" w:rsidRPr="000A24A2" w:rsidTr="000A24A2">
        <w:trPr>
          <w:trHeight w:val="510"/>
        </w:trPr>
        <w:tc>
          <w:tcPr>
            <w:tcW w:w="715" w:type="dxa"/>
            <w:tcBorders>
              <w:top w:val="nil"/>
              <w:left w:val="single" w:sz="4" w:space="0" w:color="auto"/>
              <w:bottom w:val="single" w:sz="4" w:space="0" w:color="auto"/>
              <w:right w:val="single" w:sz="4" w:space="0" w:color="auto"/>
            </w:tcBorders>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1</w:t>
            </w:r>
          </w:p>
        </w:tc>
        <w:tc>
          <w:tcPr>
            <w:tcW w:w="8605" w:type="dxa"/>
            <w:tcBorders>
              <w:top w:val="nil"/>
              <w:left w:val="single" w:sz="4" w:space="0" w:color="auto"/>
              <w:bottom w:val="single" w:sz="4" w:space="0" w:color="auto"/>
              <w:right w:val="single" w:sz="4" w:space="0" w:color="auto"/>
            </w:tcBorders>
            <w:shd w:val="clear" w:color="auto" w:fill="auto"/>
            <w:hideMark/>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New Definition of Micro, Small and Medium Enterprises</w:t>
            </w:r>
          </w:p>
        </w:tc>
      </w:tr>
      <w:tr w:rsidR="00BF62C5" w:rsidRPr="000A24A2" w:rsidTr="000A24A2">
        <w:trPr>
          <w:trHeight w:val="510"/>
        </w:trPr>
        <w:tc>
          <w:tcPr>
            <w:tcW w:w="715" w:type="dxa"/>
            <w:tcBorders>
              <w:top w:val="nil"/>
              <w:left w:val="single" w:sz="4" w:space="0" w:color="auto"/>
              <w:bottom w:val="single" w:sz="4" w:space="0" w:color="auto"/>
              <w:right w:val="single" w:sz="4" w:space="0" w:color="auto"/>
            </w:tcBorders>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2</w:t>
            </w:r>
          </w:p>
        </w:tc>
        <w:tc>
          <w:tcPr>
            <w:tcW w:w="8605" w:type="dxa"/>
            <w:tcBorders>
              <w:top w:val="nil"/>
              <w:left w:val="single" w:sz="4" w:space="0" w:color="auto"/>
              <w:bottom w:val="single" w:sz="4" w:space="0" w:color="auto"/>
              <w:right w:val="single" w:sz="4" w:space="0" w:color="auto"/>
            </w:tcBorders>
            <w:shd w:val="clear" w:color="auto" w:fill="auto"/>
            <w:hideMark/>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Amendment to Master Direction (MD) on KYC – KYC norms for Self Help Groups (SHGs)</w:t>
            </w:r>
          </w:p>
        </w:tc>
      </w:tr>
      <w:tr w:rsidR="00BF62C5" w:rsidRPr="000A24A2" w:rsidTr="000A24A2">
        <w:trPr>
          <w:trHeight w:val="510"/>
        </w:trPr>
        <w:tc>
          <w:tcPr>
            <w:tcW w:w="715" w:type="dxa"/>
            <w:tcBorders>
              <w:top w:val="nil"/>
              <w:left w:val="single" w:sz="4" w:space="0" w:color="auto"/>
              <w:bottom w:val="single" w:sz="4" w:space="0" w:color="auto"/>
              <w:right w:val="single" w:sz="4" w:space="0" w:color="auto"/>
            </w:tcBorders>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3</w:t>
            </w:r>
          </w:p>
        </w:tc>
        <w:tc>
          <w:tcPr>
            <w:tcW w:w="8605" w:type="dxa"/>
            <w:tcBorders>
              <w:top w:val="nil"/>
              <w:left w:val="single" w:sz="4" w:space="0" w:color="auto"/>
              <w:bottom w:val="single" w:sz="4" w:space="0" w:color="auto"/>
              <w:right w:val="single" w:sz="4" w:space="0" w:color="auto"/>
            </w:tcBorders>
            <w:shd w:val="clear" w:color="auto" w:fill="auto"/>
            <w:hideMark/>
          </w:tcPr>
          <w:p w:rsidR="00BF62C5" w:rsidRPr="000A24A2" w:rsidRDefault="00BF62C5" w:rsidP="00BF62C5">
            <w:pPr>
              <w:spacing w:after="0" w:line="240" w:lineRule="auto"/>
              <w:rPr>
                <w:rFonts w:ascii="Calibri" w:eastAsia="Times New Roman" w:hAnsi="Calibri" w:cs="Calibri"/>
                <w:color w:val="000000"/>
                <w:szCs w:val="20"/>
              </w:rPr>
            </w:pPr>
            <w:r w:rsidRPr="000A24A2">
              <w:rPr>
                <w:rFonts w:ascii="Calibri" w:eastAsia="Times New Roman" w:hAnsi="Calibri" w:cs="Calibri"/>
                <w:color w:val="000000"/>
                <w:szCs w:val="20"/>
              </w:rPr>
              <w:t>Strengthening of Grievance Redress Mechanism in Banks</w:t>
            </w:r>
          </w:p>
        </w:tc>
      </w:tr>
    </w:tbl>
    <w:p w:rsidR="00174F55" w:rsidRDefault="00174F55">
      <w:pPr>
        <w:rPr>
          <w:b/>
          <w:color w:val="2E74B5" w:themeColor="accent1" w:themeShade="BF"/>
        </w:rPr>
      </w:pPr>
    </w:p>
    <w:p w:rsidR="00F55DE4" w:rsidRPr="00C760EA" w:rsidRDefault="00F55DE4" w:rsidP="00F55DE4">
      <w:pPr>
        <w:pStyle w:val="NormalWeb"/>
        <w:shd w:val="clear" w:color="auto" w:fill="FFFFFF"/>
        <w:spacing w:before="0" w:beforeAutospacing="0" w:after="0" w:afterAutospacing="0"/>
        <w:jc w:val="both"/>
        <w:rPr>
          <w:b/>
          <w:bCs/>
          <w:color w:val="000000"/>
        </w:rPr>
      </w:pPr>
      <w:r>
        <w:rPr>
          <w:b/>
          <w:bCs/>
          <w:color w:val="000000"/>
        </w:rPr>
        <w:t xml:space="preserve">1. </w:t>
      </w:r>
      <w:r w:rsidRPr="00C760EA">
        <w:rPr>
          <w:b/>
          <w:bCs/>
          <w:color w:val="000000"/>
        </w:rPr>
        <w:t>New Definition of Micro, Small and Medium Enterprises</w:t>
      </w:r>
    </w:p>
    <w:p w:rsidR="00F55DE4" w:rsidRDefault="00F55DE4" w:rsidP="00F55DE4">
      <w:pPr>
        <w:pStyle w:val="NormalWeb"/>
        <w:shd w:val="clear" w:color="auto" w:fill="FFFFFF"/>
        <w:spacing w:before="0" w:beforeAutospacing="0" w:after="0" w:afterAutospacing="0"/>
        <w:jc w:val="both"/>
        <w:rPr>
          <w:color w:val="000000"/>
        </w:rPr>
      </w:pPr>
    </w:p>
    <w:p w:rsidR="00F55DE4" w:rsidRPr="00544DBA" w:rsidRDefault="00F55DE4" w:rsidP="00F55DE4">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F55DE4" w:rsidRDefault="00F55DE4" w:rsidP="00F55DE4">
      <w:pPr>
        <w:pStyle w:val="NormalWeb"/>
        <w:shd w:val="clear" w:color="auto" w:fill="FFFFFF"/>
        <w:spacing w:before="0" w:beforeAutospacing="0" w:after="0" w:afterAutospacing="0"/>
        <w:jc w:val="both"/>
        <w:rPr>
          <w:i/>
          <w:color w:val="000000"/>
        </w:rPr>
      </w:pPr>
    </w:p>
    <w:p w:rsidR="00F55DE4" w:rsidRPr="00544DBA" w:rsidRDefault="00F55DE4" w:rsidP="00F55DE4">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F55DE4" w:rsidRDefault="00F55DE4" w:rsidP="00F55DE4">
      <w:pPr>
        <w:pStyle w:val="NormalWeb"/>
        <w:shd w:val="clear" w:color="auto" w:fill="FFFFFF"/>
        <w:spacing w:before="0" w:beforeAutospacing="0" w:after="0" w:afterAutospacing="0"/>
        <w:jc w:val="both"/>
        <w:rPr>
          <w:color w:val="000000"/>
        </w:rPr>
      </w:pPr>
    </w:p>
    <w:p w:rsidR="00F55DE4" w:rsidRPr="00C760EA" w:rsidRDefault="00F55DE4" w:rsidP="00F55DE4">
      <w:pPr>
        <w:pStyle w:val="NormalWeb"/>
        <w:shd w:val="clear" w:color="auto" w:fill="FFFFFF"/>
        <w:spacing w:before="0" w:beforeAutospacing="0" w:after="0" w:afterAutospacing="0"/>
        <w:jc w:val="both"/>
        <w:rPr>
          <w:color w:val="000000"/>
        </w:rPr>
      </w:pPr>
      <w:r w:rsidRPr="00C760EA">
        <w:rPr>
          <w:color w:val="000000"/>
        </w:rPr>
        <w:t>Please refer to the </w:t>
      </w:r>
      <w:hyperlink r:id="rId4"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F55DE4" w:rsidRDefault="00F55DE4" w:rsidP="00F55DE4">
      <w:pPr>
        <w:pStyle w:val="NormalWeb"/>
        <w:shd w:val="clear" w:color="auto" w:fill="FFFFFF"/>
        <w:spacing w:before="0" w:beforeAutospacing="0" w:after="0" w:afterAutospacing="0"/>
        <w:jc w:val="both"/>
        <w:rPr>
          <w:color w:val="000000"/>
        </w:rPr>
      </w:pPr>
    </w:p>
    <w:p w:rsidR="00F55DE4" w:rsidRPr="00C760EA" w:rsidRDefault="00F55DE4" w:rsidP="00F55DE4">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5"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6" w:tgtFrame="_blank" w:history="1">
        <w:r w:rsidRPr="00C760EA">
          <w:rPr>
            <w:rStyle w:val="Hyperlink"/>
          </w:rPr>
          <w:t>S.O. 2119 (E), dated June 26, 2020</w:t>
        </w:r>
      </w:hyperlink>
      <w:r w:rsidRPr="00C760EA">
        <w:rPr>
          <w:color w:val="000000"/>
        </w:rPr>
        <w:t>, published in the Gazette of India.</w:t>
      </w:r>
    </w:p>
    <w:p w:rsidR="00F55DE4" w:rsidRDefault="00F55DE4" w:rsidP="00F55DE4">
      <w:pPr>
        <w:pStyle w:val="NormalWeb"/>
        <w:shd w:val="clear" w:color="auto" w:fill="FFFFFF"/>
        <w:spacing w:before="0" w:beforeAutospacing="0" w:after="0" w:afterAutospacing="0"/>
        <w:jc w:val="both"/>
        <w:rPr>
          <w:color w:val="000000"/>
        </w:rPr>
      </w:pPr>
    </w:p>
    <w:p w:rsidR="00F55DE4" w:rsidRPr="00C760EA" w:rsidRDefault="00F55DE4" w:rsidP="00F55DE4">
      <w:pPr>
        <w:pStyle w:val="NormalWeb"/>
        <w:shd w:val="clear" w:color="auto" w:fill="FFFFFF"/>
        <w:spacing w:before="0" w:beforeAutospacing="0" w:after="0" w:afterAutospacing="0"/>
        <w:jc w:val="both"/>
        <w:rPr>
          <w:color w:val="000000"/>
        </w:rPr>
      </w:pPr>
      <w:r w:rsidRPr="00C760EA">
        <w:rPr>
          <w:color w:val="000000"/>
        </w:rPr>
        <w:t>3. In view of the above amendment, paragraph 2.2 (</w:t>
      </w:r>
      <w:proofErr w:type="spellStart"/>
      <w:r w:rsidRPr="00C760EA">
        <w:rPr>
          <w:color w:val="000000"/>
        </w:rPr>
        <w:t>i</w:t>
      </w:r>
      <w:proofErr w:type="spellEnd"/>
      <w:r w:rsidRPr="00C760EA">
        <w:rPr>
          <w:color w:val="000000"/>
        </w:rPr>
        <w:t>) of </w:t>
      </w:r>
      <w:hyperlink r:id="rId7" w:tgtFrame="_blank" w:history="1">
        <w:r w:rsidRPr="00C760EA">
          <w:rPr>
            <w:rStyle w:val="Hyperlink"/>
          </w:rPr>
          <w:t>RBI circular dated August 21, 2020</w:t>
        </w:r>
      </w:hyperlink>
      <w:r w:rsidRPr="00C760EA">
        <w:rPr>
          <w:color w:val="000000"/>
        </w:rPr>
        <w:t> stands modified as under:</w:t>
      </w:r>
    </w:p>
    <w:p w:rsidR="00F55DE4" w:rsidRPr="00C760EA" w:rsidRDefault="00F55DE4" w:rsidP="00F55DE4">
      <w:pPr>
        <w:pStyle w:val="NormalWeb"/>
        <w:shd w:val="clear" w:color="auto" w:fill="FFFFFF"/>
        <w:spacing w:before="0" w:beforeAutospacing="0" w:after="0" w:afterAutospacing="0"/>
        <w:jc w:val="both"/>
        <w:rPr>
          <w:color w:val="000000"/>
        </w:rPr>
      </w:pPr>
      <w:r w:rsidRPr="00C760EA">
        <w:rPr>
          <w:color w:val="000000"/>
        </w:rPr>
        <w:t xml:space="preserve">“The existing Entrepreneurs Memorandum (EM) Part II and </w:t>
      </w:r>
      <w:proofErr w:type="spellStart"/>
      <w:r w:rsidRPr="00C760EA">
        <w:rPr>
          <w:color w:val="000000"/>
        </w:rPr>
        <w:t>Udyog</w:t>
      </w:r>
      <w:proofErr w:type="spellEnd"/>
      <w:r w:rsidRPr="00C760EA">
        <w:rPr>
          <w:color w:val="000000"/>
        </w:rPr>
        <w:t xml:space="preserve"> </w:t>
      </w:r>
      <w:proofErr w:type="spellStart"/>
      <w:r w:rsidRPr="00C760EA">
        <w:rPr>
          <w:color w:val="000000"/>
        </w:rPr>
        <w:t>Aadhaar</w:t>
      </w:r>
      <w:proofErr w:type="spellEnd"/>
      <w:r w:rsidRPr="00C760EA">
        <w:rPr>
          <w:color w:val="000000"/>
        </w:rPr>
        <w:t xml:space="preserve"> Memorandum (UAMs) of the MSMEs obtained till June 30, 2020 shall remain valid till December 31, 2021”.</w:t>
      </w:r>
    </w:p>
    <w:p w:rsidR="00F55DE4" w:rsidRDefault="00F55DE4" w:rsidP="00F55DE4">
      <w:pPr>
        <w:pStyle w:val="NormalWeb"/>
        <w:pBdr>
          <w:bottom w:val="single" w:sz="12" w:space="1" w:color="auto"/>
        </w:pBdr>
        <w:shd w:val="clear" w:color="auto" w:fill="FFFFFF"/>
        <w:spacing w:before="0" w:beforeAutospacing="0" w:after="0" w:afterAutospacing="0"/>
        <w:jc w:val="both"/>
        <w:rPr>
          <w:color w:val="000000"/>
        </w:rPr>
      </w:pPr>
    </w:p>
    <w:p w:rsidR="00F55DE4" w:rsidRDefault="00F55DE4" w:rsidP="00F55DE4">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F55DE4" w:rsidRPr="00C760EA" w:rsidRDefault="00F55DE4" w:rsidP="00F55DE4">
      <w:pPr>
        <w:pStyle w:val="NormalWeb"/>
        <w:pBdr>
          <w:bottom w:val="single" w:sz="12" w:space="1" w:color="auto"/>
        </w:pBdr>
        <w:shd w:val="clear" w:color="auto" w:fill="FFFFFF"/>
        <w:spacing w:before="0" w:beforeAutospacing="0" w:after="0" w:afterAutospacing="0"/>
        <w:jc w:val="both"/>
        <w:rPr>
          <w:color w:val="000000"/>
        </w:rPr>
      </w:pPr>
    </w:p>
    <w:p w:rsidR="00F55DE4" w:rsidRPr="00C760EA" w:rsidRDefault="00F55DE4" w:rsidP="00F55DE4">
      <w:pPr>
        <w:pStyle w:val="NormalWeb"/>
        <w:shd w:val="clear" w:color="auto" w:fill="FFFFFF"/>
        <w:spacing w:before="0" w:beforeAutospacing="0" w:after="0" w:afterAutospacing="0"/>
        <w:jc w:val="both"/>
        <w:rPr>
          <w:b/>
          <w:bCs/>
          <w:color w:val="000000"/>
        </w:rPr>
      </w:pPr>
    </w:p>
    <w:p w:rsidR="00D35498" w:rsidRPr="00BE0E8C" w:rsidRDefault="00D35498" w:rsidP="00D35498">
      <w:pPr>
        <w:pStyle w:val="NormalWeb"/>
        <w:shd w:val="clear" w:color="auto" w:fill="FFFFFF"/>
        <w:spacing w:before="0" w:beforeAutospacing="0" w:after="0" w:afterAutospacing="0"/>
        <w:jc w:val="both"/>
        <w:rPr>
          <w:b/>
          <w:bCs/>
          <w:color w:val="000000"/>
        </w:rPr>
      </w:pPr>
      <w:r>
        <w:rPr>
          <w:b/>
          <w:bCs/>
          <w:color w:val="000000"/>
        </w:rPr>
        <w:t xml:space="preserve">2. </w:t>
      </w:r>
      <w:r w:rsidRPr="00BE0E8C">
        <w:rPr>
          <w:b/>
          <w:bCs/>
          <w:color w:val="000000"/>
        </w:rPr>
        <w:t>Amendment to Master Direction (MD) on KYC – KYC norms for Self Help Groups (SHGs)</w:t>
      </w:r>
    </w:p>
    <w:p w:rsidR="00D35498" w:rsidRPr="00BE0E8C" w:rsidRDefault="00D35498" w:rsidP="00D35498">
      <w:pPr>
        <w:pStyle w:val="NormalWeb"/>
        <w:shd w:val="clear" w:color="auto" w:fill="FFFFFF"/>
        <w:spacing w:before="0" w:beforeAutospacing="0" w:after="0" w:afterAutospacing="0"/>
        <w:jc w:val="both"/>
        <w:rPr>
          <w:b/>
          <w:color w:val="000000"/>
        </w:rPr>
      </w:pPr>
    </w:p>
    <w:p w:rsidR="00D35498" w:rsidRPr="00BE0E8C" w:rsidRDefault="00D35498" w:rsidP="00D35498">
      <w:pPr>
        <w:pStyle w:val="NormalWeb"/>
        <w:shd w:val="clear" w:color="auto" w:fill="FFFFFF"/>
        <w:spacing w:before="0" w:beforeAutospacing="0" w:after="0" w:afterAutospacing="0"/>
        <w:jc w:val="both"/>
        <w:rPr>
          <w:b/>
          <w:color w:val="000000"/>
        </w:rPr>
      </w:pPr>
      <w:r w:rsidRPr="00BE0E8C">
        <w:rPr>
          <w:b/>
          <w:color w:val="000000"/>
        </w:rPr>
        <w:t xml:space="preserve">RBI/2021-22/10 </w:t>
      </w:r>
      <w:proofErr w:type="gramStart"/>
      <w:r w:rsidRPr="00BE0E8C">
        <w:rPr>
          <w:b/>
          <w:color w:val="000000"/>
        </w:rPr>
        <w:t>DOR.AML.BC.No.</w:t>
      </w:r>
      <w:proofErr w:type="gramEnd"/>
      <w:r w:rsidRPr="00BE0E8C">
        <w:rPr>
          <w:b/>
          <w:color w:val="000000"/>
        </w:rPr>
        <w:t>1/14.01.001/2021-22</w:t>
      </w:r>
      <w:r w:rsidRPr="00BE0E8C">
        <w:rPr>
          <w:b/>
          <w:color w:val="000000"/>
        </w:rPr>
        <w:tab/>
      </w:r>
      <w:r w:rsidRPr="00BE0E8C">
        <w:rPr>
          <w:b/>
          <w:color w:val="000000"/>
        </w:rPr>
        <w:tab/>
      </w:r>
      <w:r w:rsidRPr="00BE0E8C">
        <w:rPr>
          <w:b/>
          <w:color w:val="000000"/>
        </w:rPr>
        <w:tab/>
        <w:t>April 1, 2021</w:t>
      </w:r>
    </w:p>
    <w:p w:rsidR="00D35498" w:rsidRPr="00BE0E8C" w:rsidRDefault="00D35498" w:rsidP="00D35498">
      <w:pPr>
        <w:pStyle w:val="NormalWeb"/>
        <w:shd w:val="clear" w:color="auto" w:fill="FFFFFF"/>
        <w:spacing w:before="0" w:beforeAutospacing="0" w:after="0" w:afterAutospacing="0"/>
        <w:jc w:val="both"/>
        <w:rPr>
          <w:i/>
          <w:color w:val="000000"/>
          <w:shd w:val="clear" w:color="auto" w:fill="FFFFFF"/>
        </w:rPr>
      </w:pPr>
    </w:p>
    <w:p w:rsidR="00D35498" w:rsidRPr="00BE0E8C" w:rsidRDefault="00D35498" w:rsidP="00D35498">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8"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lastRenderedPageBreak/>
        <w:t>2. In this regard, on a review, it has been decided to amend clause (c) of Section 43 to read as under:</w:t>
      </w:r>
    </w:p>
    <w:p w:rsidR="00D35498" w:rsidRDefault="00D35498" w:rsidP="00D35498">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D35498" w:rsidRPr="00BE0E8C" w:rsidRDefault="00D35498" w:rsidP="00D35498">
      <w:pPr>
        <w:pStyle w:val="NormalWeb"/>
        <w:pBdr>
          <w:bottom w:val="single" w:sz="12" w:space="1" w:color="auto"/>
        </w:pBdr>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b/>
          <w:color w:val="000000"/>
        </w:rPr>
      </w:pPr>
      <w:r>
        <w:rPr>
          <w:b/>
          <w:color w:val="000000"/>
        </w:rPr>
        <w:t xml:space="preserve">3. </w:t>
      </w:r>
      <w:r w:rsidRPr="00BE0E8C">
        <w:rPr>
          <w:b/>
          <w:color w:val="000000"/>
        </w:rPr>
        <w:t>Strengthening of Grievance Redress Mechanism in Banks</w:t>
      </w:r>
    </w:p>
    <w:p w:rsidR="00D35498" w:rsidRPr="00BE0E8C" w:rsidRDefault="00D35498" w:rsidP="00D35498">
      <w:pPr>
        <w:pStyle w:val="NormalWeb"/>
        <w:shd w:val="clear" w:color="auto" w:fill="FFFFFF"/>
        <w:spacing w:before="0" w:beforeAutospacing="0" w:after="0" w:afterAutospacing="0"/>
        <w:jc w:val="both"/>
        <w:rPr>
          <w:b/>
          <w:color w:val="000000"/>
        </w:rPr>
      </w:pPr>
    </w:p>
    <w:p w:rsidR="00D35498" w:rsidRPr="00BE0E8C" w:rsidRDefault="00D35498" w:rsidP="00D35498">
      <w:pPr>
        <w:pStyle w:val="NormalWeb"/>
        <w:shd w:val="clear" w:color="auto" w:fill="FFFFFF"/>
        <w:spacing w:before="0" w:beforeAutospacing="0" w:after="0" w:afterAutospacing="0"/>
        <w:jc w:val="both"/>
        <w:rPr>
          <w:b/>
          <w:color w:val="000000"/>
        </w:rPr>
      </w:pPr>
      <w:r w:rsidRPr="00BE0E8C">
        <w:rPr>
          <w:b/>
          <w:color w:val="000000"/>
        </w:rPr>
        <w:t xml:space="preserve">RBI/2020-21/87 </w:t>
      </w:r>
      <w:proofErr w:type="gramStart"/>
      <w:r w:rsidRPr="00BE0E8C">
        <w:rPr>
          <w:b/>
          <w:color w:val="000000"/>
        </w:rPr>
        <w:t>CEPD.CO.PRD.Cir.No.</w:t>
      </w:r>
      <w:proofErr w:type="gramEnd"/>
      <w:r w:rsidRPr="00BE0E8C">
        <w:rPr>
          <w:b/>
          <w:color w:val="000000"/>
        </w:rPr>
        <w:t>01/13.01.013/2020-21</w:t>
      </w:r>
      <w:r w:rsidRPr="00BE0E8C">
        <w:rPr>
          <w:b/>
          <w:color w:val="000000"/>
        </w:rPr>
        <w:tab/>
      </w:r>
      <w:r w:rsidRPr="00BE0E8C">
        <w:rPr>
          <w:b/>
          <w:color w:val="000000"/>
        </w:rPr>
        <w:tab/>
        <w:t>January 27, 2021</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Please refer to the ‘</w:t>
      </w:r>
      <w:hyperlink r:id="rId9" w:tgtFrame="_blank" w:history="1">
        <w:r w:rsidRPr="00BE0E8C">
          <w:rPr>
            <w:rStyle w:val="Hyperlink"/>
          </w:rPr>
          <w:t>Statement on Developmental and Regulatory Policies</w:t>
        </w:r>
      </w:hyperlink>
      <w:r w:rsidRPr="00BE0E8C">
        <w:rPr>
          <w:color w:val="000000"/>
        </w:rPr>
        <w:t>’ issued as part of the </w:t>
      </w:r>
      <w:hyperlink r:id="rId10"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11" w:anchor="AN1" w:history="1">
        <w:r w:rsidRPr="00BE0E8C">
          <w:rPr>
            <w:rStyle w:val="Hyperlink"/>
          </w:rPr>
          <w:t>Annex</w:t>
        </w:r>
      </w:hyperlink>
      <w:r w:rsidRPr="00BE0E8C">
        <w:rPr>
          <w:color w:val="000000"/>
        </w:rPr>
        <w:t>.</w:t>
      </w:r>
    </w:p>
    <w:p w:rsidR="00D35498" w:rsidRPr="00BE0E8C" w:rsidRDefault="00D35498" w:rsidP="00D35498">
      <w:pPr>
        <w:pStyle w:val="NormalWeb"/>
        <w:shd w:val="clear" w:color="auto" w:fill="FFFFFF"/>
        <w:spacing w:before="0" w:beforeAutospacing="0" w:after="0" w:afterAutospacing="0"/>
        <w:jc w:val="both"/>
        <w:rPr>
          <w:color w:val="000000"/>
        </w:rPr>
      </w:pPr>
    </w:p>
    <w:p w:rsidR="00D35498" w:rsidRPr="00BE0E8C" w:rsidRDefault="00D35498" w:rsidP="00D35498">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lastRenderedPageBreak/>
        <w:t>6. The framework will come into effect from the date of the circular.</w:t>
      </w:r>
    </w:p>
    <w:p w:rsidR="00D35498" w:rsidRPr="00BE0E8C" w:rsidRDefault="00D35498" w:rsidP="00D35498">
      <w:pPr>
        <w:pStyle w:val="NormalWeb"/>
        <w:pBdr>
          <w:bottom w:val="single" w:sz="12" w:space="1" w:color="auto"/>
        </w:pBdr>
        <w:shd w:val="clear" w:color="auto" w:fill="FFFFFF"/>
        <w:spacing w:before="0" w:beforeAutospacing="0" w:after="0" w:afterAutospacing="0"/>
        <w:jc w:val="both"/>
        <w:rPr>
          <w:color w:val="000000"/>
        </w:rPr>
      </w:pPr>
    </w:p>
    <w:p w:rsidR="00D35498" w:rsidRPr="00BE0E8C" w:rsidRDefault="002128F9" w:rsidP="00D35498">
      <w:pPr>
        <w:pStyle w:val="NormalWeb"/>
        <w:pBdr>
          <w:bottom w:val="single" w:sz="12" w:space="1" w:color="auto"/>
        </w:pBdr>
        <w:shd w:val="clear" w:color="auto" w:fill="FFFFFF"/>
        <w:spacing w:before="0" w:beforeAutospacing="0" w:after="0" w:afterAutospacing="0"/>
        <w:jc w:val="both"/>
        <w:rPr>
          <w:color w:val="000000"/>
        </w:rPr>
      </w:pPr>
      <w:hyperlink r:id="rId12" w:history="1">
        <w:r w:rsidR="00D35498" w:rsidRPr="00BE0E8C">
          <w:rPr>
            <w:rStyle w:val="Hyperlink"/>
          </w:rPr>
          <w:t>https://www.rbi.org.in/Scripts/NotificationUser.aspx?Id=12017&amp;Mode=0</w:t>
        </w:r>
      </w:hyperlink>
      <w:r w:rsidR="00D35498" w:rsidRPr="00BE0E8C">
        <w:rPr>
          <w:color w:val="000000"/>
        </w:rPr>
        <w:t xml:space="preserve"> </w:t>
      </w:r>
    </w:p>
    <w:p w:rsidR="00D35498" w:rsidRPr="00BE0E8C" w:rsidRDefault="00D35498" w:rsidP="00D35498">
      <w:pPr>
        <w:pStyle w:val="NormalWeb"/>
        <w:shd w:val="clear" w:color="auto" w:fill="FFFFFF"/>
        <w:spacing w:before="0" w:beforeAutospacing="0" w:after="0" w:afterAutospacing="0"/>
        <w:jc w:val="both"/>
        <w:rPr>
          <w:b/>
          <w:color w:val="000000"/>
        </w:rPr>
      </w:pPr>
    </w:p>
    <w:p w:rsidR="00F55DE4" w:rsidRPr="00174F55" w:rsidRDefault="00F55DE4" w:rsidP="00D35498">
      <w:pPr>
        <w:jc w:val="center"/>
        <w:rPr>
          <w:b/>
          <w:color w:val="2E74B5" w:themeColor="accent1" w:themeShade="BF"/>
        </w:rPr>
      </w:pPr>
    </w:p>
    <w:sectPr w:rsidR="00F55DE4" w:rsidRPr="00174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A24A2"/>
    <w:rsid w:val="00174F55"/>
    <w:rsid w:val="002128F9"/>
    <w:rsid w:val="002F036D"/>
    <w:rsid w:val="00432068"/>
    <w:rsid w:val="00731C1A"/>
    <w:rsid w:val="00A20D26"/>
    <w:rsid w:val="00A939C1"/>
    <w:rsid w:val="00A9777D"/>
    <w:rsid w:val="00BF62C5"/>
    <w:rsid w:val="00BF6C68"/>
    <w:rsid w:val="00C26590"/>
    <w:rsid w:val="00D35498"/>
    <w:rsid w:val="00D54015"/>
    <w:rsid w:val="00E42839"/>
    <w:rsid w:val="00F5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5D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F55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75224076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156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bi.org.in/Scripts/NotificationUser.aspx?Id=11951&amp;Mode=0" TargetMode="External"/><Relationship Id="rId12" Type="http://schemas.openxmlformats.org/officeDocument/2006/relationships/hyperlink" Target="https://www.rbi.org.in/Scripts/NotificationUser.aspx?Id=12017&amp;Mo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idocs.rbi.org.in/rdocs/content/pdfs/IndianGazzate02072020.pdf" TargetMode="External"/><Relationship Id="rId11" Type="http://schemas.openxmlformats.org/officeDocument/2006/relationships/hyperlink" Target="https://www.rbi.org.in/Scripts/NotificationUser.aspx?Id=12017&amp;Mode=0" TargetMode="External"/><Relationship Id="rId5" Type="http://schemas.openxmlformats.org/officeDocument/2006/relationships/hyperlink" Target="https://rbidocs.rbi.org.in/rdocs/content/pdfs/MoMSME16062021.pdf" TargetMode="External"/><Relationship Id="rId10" Type="http://schemas.openxmlformats.org/officeDocument/2006/relationships/hyperlink" Target="https://www.rbi.org.in/Scripts/BS_PressReleaseDisplay.aspx?prid=50747" TargetMode="External"/><Relationship Id="rId4" Type="http://schemas.openxmlformats.org/officeDocument/2006/relationships/hyperlink" Target="https://www.rbi.org.in/Scripts/NotificationUser.aspx?Id=11951&amp;Mode=0" TargetMode="External"/><Relationship Id="rId9" Type="http://schemas.openxmlformats.org/officeDocument/2006/relationships/hyperlink" Target="https://www.rbi.org.in/Scripts/BS_PressReleaseDisplay.aspx?prid=507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2021-07-17T14:10:00Z</dcterms:created>
  <dcterms:modified xsi:type="dcterms:W3CDTF">2021-07-17T14:10:00Z</dcterms:modified>
</cp:coreProperties>
</file>