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95" w:rsidRPr="00562D95" w:rsidRDefault="00562D95" w:rsidP="00562D95">
      <w:pPr>
        <w:pStyle w:val="NormalWeb"/>
        <w:shd w:val="clear" w:color="auto" w:fill="FFFFFF"/>
        <w:spacing w:before="0" w:beforeAutospacing="0" w:after="0" w:afterAutospacing="0"/>
        <w:jc w:val="center"/>
        <w:rPr>
          <w:b/>
          <w:bCs/>
          <w:color w:val="000000"/>
          <w:sz w:val="36"/>
          <w:u w:val="single"/>
        </w:rPr>
      </w:pPr>
      <w:bookmarkStart w:id="0" w:name="_GoBack"/>
      <w:r w:rsidRPr="00562D95">
        <w:rPr>
          <w:b/>
          <w:bCs/>
          <w:color w:val="000000"/>
          <w:sz w:val="36"/>
          <w:u w:val="single"/>
        </w:rPr>
        <w:t>CRFS_ RBI Notifications Jan to June 2021</w:t>
      </w:r>
    </w:p>
    <w:bookmarkEnd w:id="0"/>
    <w:p w:rsidR="00562D95" w:rsidRDefault="00562D95" w:rsidP="00AB0AB3">
      <w:pPr>
        <w:pStyle w:val="NormalWeb"/>
        <w:shd w:val="clear" w:color="auto" w:fill="FFFFFF"/>
        <w:spacing w:before="0" w:beforeAutospacing="0" w:after="0" w:afterAutospacing="0"/>
        <w:jc w:val="both"/>
        <w:rPr>
          <w:b/>
          <w:bCs/>
          <w:color w:val="000000"/>
        </w:rPr>
      </w:pPr>
    </w:p>
    <w:p w:rsidR="00AB0AB3" w:rsidRPr="00C760EA" w:rsidRDefault="00AB0AB3" w:rsidP="00AB0AB3">
      <w:pPr>
        <w:pStyle w:val="NormalWeb"/>
        <w:shd w:val="clear" w:color="auto" w:fill="FFFFFF"/>
        <w:spacing w:before="0" w:beforeAutospacing="0" w:after="0" w:afterAutospacing="0"/>
        <w:jc w:val="both"/>
        <w:rPr>
          <w:b/>
          <w:bCs/>
          <w:color w:val="000000"/>
        </w:rPr>
      </w:pPr>
      <w:r w:rsidRPr="00C760EA">
        <w:rPr>
          <w:b/>
          <w:bCs/>
          <w:color w:val="000000"/>
        </w:rPr>
        <w:t>Appointment of Chief Risk Officer in Primary (Urban) Co-operative Banks</w:t>
      </w:r>
    </w:p>
    <w:p w:rsidR="00AB0AB3" w:rsidRDefault="00AB0AB3" w:rsidP="00AB0AB3">
      <w:pPr>
        <w:pStyle w:val="NormalWeb"/>
        <w:shd w:val="clear" w:color="auto" w:fill="FFFFFF"/>
        <w:spacing w:before="0" w:beforeAutospacing="0" w:after="0" w:afterAutospacing="0"/>
        <w:jc w:val="both"/>
        <w:rPr>
          <w:b/>
          <w:bCs/>
          <w:color w:val="000000"/>
        </w:rPr>
      </w:pPr>
    </w:p>
    <w:p w:rsidR="00AB0AB3" w:rsidRPr="00C760EA" w:rsidRDefault="00AB0AB3" w:rsidP="00AB0AB3">
      <w:pPr>
        <w:pStyle w:val="NormalWeb"/>
        <w:shd w:val="clear" w:color="auto" w:fill="FFFFFF"/>
        <w:spacing w:before="0" w:beforeAutospacing="0" w:after="0" w:afterAutospacing="0"/>
        <w:jc w:val="both"/>
        <w:rPr>
          <w:b/>
          <w:bCs/>
          <w:color w:val="000000"/>
        </w:rPr>
      </w:pPr>
      <w:r w:rsidRPr="00C760EA">
        <w:rPr>
          <w:b/>
          <w:bCs/>
          <w:color w:val="000000"/>
        </w:rPr>
        <w:t>RBI/2021-2022/62</w:t>
      </w:r>
      <w:r>
        <w:rPr>
          <w:b/>
          <w:bCs/>
          <w:color w:val="000000"/>
        </w:rPr>
        <w:t xml:space="preserve"> </w:t>
      </w:r>
      <w:r w:rsidRPr="00C760EA">
        <w:rPr>
          <w:b/>
          <w:bCs/>
          <w:color w:val="000000"/>
        </w:rPr>
        <w:t>DOR.CRE(DIR</w:t>
      </w:r>
      <w:proofErr w:type="gramStart"/>
      <w:r w:rsidRPr="00C760EA">
        <w:rPr>
          <w:b/>
          <w:bCs/>
          <w:color w:val="000000"/>
        </w:rPr>
        <w:t>).REC.</w:t>
      </w:r>
      <w:proofErr w:type="gramEnd"/>
      <w:r w:rsidRPr="00C760EA">
        <w:rPr>
          <w:b/>
          <w:bCs/>
          <w:color w:val="000000"/>
        </w:rPr>
        <w:t>26/21.04.103/2021-22</w:t>
      </w:r>
      <w:r>
        <w:rPr>
          <w:b/>
          <w:bCs/>
          <w:color w:val="000000"/>
        </w:rPr>
        <w:t xml:space="preserve"> </w:t>
      </w:r>
      <w:r>
        <w:rPr>
          <w:b/>
          <w:bCs/>
          <w:color w:val="000000"/>
        </w:rPr>
        <w:tab/>
      </w:r>
      <w:r>
        <w:rPr>
          <w:b/>
          <w:bCs/>
          <w:color w:val="000000"/>
        </w:rPr>
        <w:tab/>
      </w:r>
      <w:r w:rsidRPr="00C760EA">
        <w:rPr>
          <w:b/>
          <w:bCs/>
          <w:color w:val="000000"/>
        </w:rPr>
        <w:t>June 25, 2021</w:t>
      </w:r>
    </w:p>
    <w:p w:rsidR="00AB0AB3" w:rsidRPr="00C760EA" w:rsidRDefault="00AB0AB3" w:rsidP="00AB0AB3">
      <w:pPr>
        <w:pStyle w:val="NormalWeb"/>
        <w:shd w:val="clear" w:color="auto" w:fill="FFFFFF"/>
        <w:spacing w:before="0" w:beforeAutospacing="0" w:after="0" w:afterAutospacing="0"/>
        <w:jc w:val="both"/>
        <w:rPr>
          <w:b/>
          <w:bCs/>
          <w:color w:val="000000"/>
        </w:rPr>
      </w:pPr>
    </w:p>
    <w:p w:rsidR="00AB0AB3" w:rsidRPr="00544DBA" w:rsidRDefault="00AB0AB3" w:rsidP="00AB0AB3">
      <w:pPr>
        <w:pStyle w:val="NormalWeb"/>
        <w:shd w:val="clear" w:color="auto" w:fill="FFFFFF"/>
        <w:spacing w:before="0" w:beforeAutospacing="0" w:after="0" w:afterAutospacing="0"/>
        <w:jc w:val="both"/>
        <w:rPr>
          <w:bCs/>
          <w:i/>
          <w:color w:val="000000"/>
        </w:rPr>
      </w:pPr>
      <w:r w:rsidRPr="00544DBA">
        <w:rPr>
          <w:bCs/>
          <w:i/>
          <w:color w:val="000000"/>
        </w:rPr>
        <w:t>The Chief Executive Officer</w:t>
      </w:r>
      <w:r>
        <w:rPr>
          <w:bCs/>
          <w:i/>
          <w:color w:val="000000"/>
        </w:rPr>
        <w:t xml:space="preserve">, </w:t>
      </w:r>
      <w:r w:rsidRPr="00544DBA">
        <w:rPr>
          <w:bCs/>
          <w:i/>
          <w:color w:val="000000"/>
        </w:rPr>
        <w:t>All Primary (Urban) Co-operative Banks</w:t>
      </w:r>
    </w:p>
    <w:p w:rsidR="00AB0AB3" w:rsidRPr="00C760EA" w:rsidRDefault="00AB0AB3" w:rsidP="00AB0AB3">
      <w:pPr>
        <w:pStyle w:val="NormalWeb"/>
        <w:shd w:val="clear" w:color="auto" w:fill="FFFFFF"/>
        <w:spacing w:before="0" w:beforeAutospacing="0" w:after="0" w:afterAutospacing="0"/>
        <w:jc w:val="both"/>
        <w:rPr>
          <w:b/>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With increasing size and scope of business, Primary (Urban) Co-operative Banks (UCBs) are gradually getting exposed to greater degree of risks. It is, therefore, necessary that every UCB focuses its attention on putting in place appropriate risk management mechanism commensurate with its business profile and strategic objectives. In this connection, it has been decided that all UCBs having asset size</w:t>
      </w:r>
      <w:r w:rsidRPr="00544DBA">
        <w:rPr>
          <w:bCs/>
          <w:color w:val="000000"/>
          <w:vertAlign w:val="superscript"/>
        </w:rPr>
        <w:t>1</w:t>
      </w:r>
      <w:r w:rsidRPr="00544DBA">
        <w:rPr>
          <w:bCs/>
          <w:color w:val="000000"/>
        </w:rPr>
        <w:t xml:space="preserve"> of ₹5000 crore or above, shall appoint a Chief Risk Officer (CRO). The Board</w:t>
      </w:r>
      <w:r w:rsidRPr="00544DBA">
        <w:rPr>
          <w:bCs/>
          <w:color w:val="000000"/>
          <w:vertAlign w:val="superscript"/>
        </w:rPr>
        <w:t>2</w:t>
      </w:r>
      <w:r w:rsidRPr="00544DBA">
        <w:rPr>
          <w:bCs/>
          <w:color w:val="000000"/>
        </w:rPr>
        <w:t xml:space="preserve"> must clearly define the CRO’s role and responsibilities and ensure that he/she functions independently.</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2. UCBs shall strictly adhere to the following instructions in this regard:</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The CRO shall be a senior official in the bank’s hierarchy and shall have adequate professional qualification / experience in the area of risk management.</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The CRO shall be appointed for a fixed tenure with the approval of the Board. The CRO can be transferred / removed from the post before completion of the tenure only with the approval of the Board and such premature transfer / removal shall be reported to the concerned Regional Office</w:t>
      </w:r>
      <w:r w:rsidRPr="00544DBA">
        <w:rPr>
          <w:bCs/>
          <w:color w:val="000000"/>
          <w:vertAlign w:val="superscript"/>
        </w:rPr>
        <w:t>3</w:t>
      </w:r>
      <w:r w:rsidRPr="00544DBA">
        <w:rPr>
          <w:bCs/>
          <w:color w:val="000000"/>
        </w:rPr>
        <w:t xml:space="preserve"> of Department of Supervision, Reserve Bank of India.</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The Board shall put in place adequate policies to safeguard the independence of the CRO. The CRO shall have direct reporting lines to MD/CEO or Board or Risk Management Committee of Board (RMC). In case the CRO reports to the MD/CEO, the Board or the RMC shall meet the CRO, without the presence of the MD &amp; CEO, at least on a quarterly basis.</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The CRO shall not have any reporting relationship with the business verticals and shall not be given any business targets. Further, there shall not be any ‘dual hatting’ i.e. the CRO shall not be given any other responsibility such as CEO, COO, CFO, Chief of the Internal Audit, etc.</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In UCBs that follow committee approach in credit sanction process for high value proposals, if the CRO is one of the decision makers in the credit sanction process, he shall have voting power and all members who are part of the credit sanction process, shall individually and severally be liable for all the aspects, including risk perspective related to the credit proposal. If the CRO is not a part of the credit sanction process, his role will be limited to that of an adviser.</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In UCBs which do not follow committee approach for sanction of high value credits, the CRO can only be an adviser in the sanction process and shall not have any sanctioning power.</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All credit products shall be vetted by the CRO from the angle of inherent and control risks.</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 xml:space="preserve">3. The CRO shall support the Board in establishing an integrated risk management system, capable of identifying, measuring and monitoring all types of risks on an ongoing basis. This </w:t>
      </w:r>
      <w:r w:rsidRPr="00544DBA">
        <w:rPr>
          <w:bCs/>
          <w:color w:val="000000"/>
        </w:rPr>
        <w:lastRenderedPageBreak/>
        <w:t xml:space="preserve">will include developing the organisational risk appetite and a framework that will translate the Board’s strategy into clearly laid down </w:t>
      </w:r>
      <w:proofErr w:type="spellStart"/>
      <w:r w:rsidRPr="00544DBA">
        <w:rPr>
          <w:bCs/>
          <w:color w:val="000000"/>
        </w:rPr>
        <w:t>monitorable</w:t>
      </w:r>
      <w:proofErr w:type="spellEnd"/>
      <w:r w:rsidRPr="00544DBA">
        <w:rPr>
          <w:bCs/>
          <w:color w:val="000000"/>
        </w:rPr>
        <w:t xml:space="preserve"> risk limits at the aggregate and at granular levels. The CRO shall also be involved in actual monitoring and mitigation of risks.</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4. It is emphasized that the primary responsibility of risk management lies with the Board. In order to focus the required level of attention on various aspects of risk management, UCBs meeting the eligibility criteria specified in para 1 above are advised to set up a Risk Management Committee (of the Board) by March 31, 2022. The Board shall decide the membership, scope of work and frequency of meeting of the Risk Management Committee.</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 xml:space="preserve">5. UCBs meeting the prescribed criteria as on March 31, 2021 shall appoint / designate a CRO by March 31, 2022. UCBs which may </w:t>
      </w:r>
      <w:proofErr w:type="spellStart"/>
      <w:r w:rsidRPr="00544DBA">
        <w:rPr>
          <w:bCs/>
          <w:color w:val="000000"/>
        </w:rPr>
        <w:t>fulfill</w:t>
      </w:r>
      <w:proofErr w:type="spellEnd"/>
      <w:r w:rsidRPr="00544DBA">
        <w:rPr>
          <w:bCs/>
          <w:color w:val="000000"/>
        </w:rPr>
        <w:t xml:space="preserve"> the criteria at the end of the current or subsequent financial years shall appoint / designate a CRO within a period of six months from the end of the financial year concerned.</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rPr>
        <w:t>6. A copy of this circular should be placed before the Board of Directors of the bank at its next meeting.</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vertAlign w:val="superscript"/>
        </w:rPr>
        <w:t>1</w:t>
      </w:r>
      <w:r w:rsidRPr="00544DBA">
        <w:rPr>
          <w:bCs/>
          <w:color w:val="000000"/>
        </w:rPr>
        <w:t xml:space="preserve"> As on March 31 of the previous year</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vertAlign w:val="superscript"/>
        </w:rPr>
        <w:t>2</w:t>
      </w:r>
      <w:r w:rsidRPr="00544DBA">
        <w:rPr>
          <w:bCs/>
          <w:color w:val="000000"/>
        </w:rPr>
        <w:t xml:space="preserve"> ‘Board’ in this circular refers to Board of Directors (</w:t>
      </w:r>
      <w:proofErr w:type="spellStart"/>
      <w:r w:rsidRPr="00544DBA">
        <w:rPr>
          <w:bCs/>
          <w:color w:val="000000"/>
        </w:rPr>
        <w:t>BoD</w:t>
      </w:r>
      <w:proofErr w:type="spellEnd"/>
      <w:r w:rsidRPr="00544DBA">
        <w:rPr>
          <w:bCs/>
          <w:color w:val="000000"/>
        </w:rPr>
        <w:t>)</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AB0AB3" w:rsidP="00AB0AB3">
      <w:pPr>
        <w:pStyle w:val="NormalWeb"/>
        <w:shd w:val="clear" w:color="auto" w:fill="FFFFFF"/>
        <w:spacing w:before="0" w:beforeAutospacing="0" w:after="0" w:afterAutospacing="0"/>
        <w:jc w:val="both"/>
        <w:rPr>
          <w:bCs/>
          <w:color w:val="000000"/>
        </w:rPr>
      </w:pPr>
      <w:r w:rsidRPr="00544DBA">
        <w:rPr>
          <w:bCs/>
          <w:color w:val="000000"/>
          <w:vertAlign w:val="superscript"/>
        </w:rPr>
        <w:t>3</w:t>
      </w:r>
      <w:r w:rsidRPr="00544DBA">
        <w:rPr>
          <w:bCs/>
          <w:color w:val="000000"/>
        </w:rPr>
        <w:t xml:space="preserve"> UCBs reporting earlier to Mumbai Regional Office of the erstwhile Department of Co-operative Bank Supervision shall report to the Central Office of the Department of Supervision.</w:t>
      </w:r>
    </w:p>
    <w:p w:rsidR="00AB0AB3" w:rsidRPr="00544DBA" w:rsidRDefault="00AB0AB3" w:rsidP="00AB0AB3">
      <w:pPr>
        <w:pStyle w:val="NormalWeb"/>
        <w:shd w:val="clear" w:color="auto" w:fill="FFFFFF"/>
        <w:spacing w:before="0" w:beforeAutospacing="0" w:after="0" w:afterAutospacing="0"/>
        <w:jc w:val="both"/>
        <w:rPr>
          <w:bCs/>
          <w:color w:val="000000"/>
        </w:rPr>
      </w:pPr>
    </w:p>
    <w:p w:rsidR="00AB0AB3" w:rsidRPr="00544DBA" w:rsidRDefault="00562D95" w:rsidP="00AB0AB3">
      <w:pPr>
        <w:pStyle w:val="NormalWeb"/>
        <w:pBdr>
          <w:bottom w:val="single" w:sz="12" w:space="1" w:color="auto"/>
        </w:pBdr>
        <w:shd w:val="clear" w:color="auto" w:fill="FFFFFF"/>
        <w:spacing w:before="0" w:beforeAutospacing="0" w:after="0" w:afterAutospacing="0"/>
        <w:jc w:val="both"/>
        <w:rPr>
          <w:bCs/>
          <w:color w:val="000000"/>
        </w:rPr>
      </w:pPr>
      <w:hyperlink r:id="rId5" w:history="1">
        <w:r w:rsidR="00AB0AB3" w:rsidRPr="00544DBA">
          <w:rPr>
            <w:rStyle w:val="Hyperlink"/>
            <w:bCs/>
          </w:rPr>
          <w:t>https://www.rbi.org.in/Scripts/NotificationUser.aspx?Id=12121&amp;Mode=0</w:t>
        </w:r>
      </w:hyperlink>
      <w:r w:rsidR="00AB0AB3" w:rsidRPr="00544DBA">
        <w:rPr>
          <w:bCs/>
          <w:color w:val="000000"/>
        </w:rPr>
        <w:t xml:space="preserve"> </w:t>
      </w:r>
    </w:p>
    <w:p w:rsidR="00AB0AB3" w:rsidRDefault="00AB0AB3" w:rsidP="002E2BDE">
      <w:pPr>
        <w:pStyle w:val="NormalWeb"/>
        <w:shd w:val="clear" w:color="auto" w:fill="FFFFFF"/>
        <w:spacing w:before="0" w:beforeAutospacing="0" w:after="0" w:afterAutospacing="0"/>
        <w:jc w:val="both"/>
        <w:rPr>
          <w:b/>
          <w:bCs/>
          <w:color w:val="000000"/>
        </w:rPr>
      </w:pPr>
    </w:p>
    <w:p w:rsidR="002E2BDE" w:rsidRPr="00BE0E8C" w:rsidRDefault="002E2BDE" w:rsidP="002E2BDE">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b/>
          <w:bCs/>
          <w:color w:val="000000"/>
        </w:rPr>
      </w:pPr>
    </w:p>
    <w:p w:rsidR="002E2BDE" w:rsidRPr="00BE0E8C" w:rsidRDefault="002E2BDE" w:rsidP="002E2BDE">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p>
    <w:p w:rsidR="002E2BDE" w:rsidRPr="00BE0E8C" w:rsidRDefault="002E2BDE" w:rsidP="002E2BDE">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6" w:tgtFrame="_blank" w:history="1">
        <w:r w:rsidRPr="00BE0E8C">
          <w:rPr>
            <w:rStyle w:val="Hyperlink"/>
            <w:u w:val="none"/>
          </w:rPr>
          <w:t>Statement on Developmental and Regulatory Policies, Reserve Bank of India</w:t>
        </w:r>
      </w:hyperlink>
      <w:r w:rsidRPr="00BE0E8C">
        <w:rPr>
          <w:color w:val="000000"/>
        </w:rPr>
        <w:t>, issued as part of the </w:t>
      </w:r>
      <w:hyperlink r:id="rId7" w:tgtFrame="_blank" w:history="1">
        <w:r w:rsidRPr="00BE0E8C">
          <w:rPr>
            <w:rStyle w:val="Hyperlink"/>
            <w:u w:val="none"/>
          </w:rPr>
          <w:t>second Bi-monthly Monetary Policy Statement for 2019-20 dated June 06, 2019</w:t>
        </w:r>
      </w:hyperlink>
      <w:r w:rsidRPr="00BE0E8C">
        <w:rPr>
          <w:color w:val="000000"/>
        </w:rPr>
        <w:t> regarding Comprehensive Review of Money Market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8" w:anchor="ANN" w:history="1">
        <w:r w:rsidRPr="00BE0E8C">
          <w:rPr>
            <w:rStyle w:val="Hyperlink"/>
            <w:u w:val="none"/>
          </w:rPr>
          <w:t>Directions</w:t>
        </w:r>
      </w:hyperlink>
      <w:r w:rsidRPr="00BE0E8C">
        <w:rPr>
          <w:color w:val="000000"/>
        </w:rPr>
        <w:t> are enclosed herewith.</w:t>
      </w: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9" w:tgtFrame="_blank" w:history="1">
        <w:r w:rsidRPr="00BE0E8C">
          <w:rPr>
            <w:rStyle w:val="Hyperlink"/>
            <w:u w:val="none"/>
          </w:rPr>
          <w:t>FMRD Master Direction No. 2/2016-17 dated July 07, 2016</w:t>
        </w:r>
      </w:hyperlink>
      <w:r w:rsidRPr="00BE0E8C">
        <w:rPr>
          <w:color w:val="000000"/>
        </w:rPr>
        <w:t>, Direction No. </w:t>
      </w:r>
      <w:hyperlink r:id="rId10" w:tgtFrame="_blank" w:history="1">
        <w:r w:rsidRPr="00BE0E8C">
          <w:rPr>
            <w:rStyle w:val="Hyperlink"/>
            <w:u w:val="none"/>
          </w:rPr>
          <w:t>FMRD.DIRD.09/14.01.001/2018-19 dated October 29, 2018</w:t>
        </w:r>
      </w:hyperlink>
      <w:r w:rsidRPr="00BE0E8C">
        <w:rPr>
          <w:color w:val="000000"/>
        </w:rPr>
        <w:t> and Direction No. </w:t>
      </w:r>
      <w:hyperlink r:id="rId11" w:tgtFrame="_blank" w:history="1">
        <w:r w:rsidRPr="00BE0E8C">
          <w:rPr>
            <w:rStyle w:val="Hyperlink"/>
            <w:u w:val="none"/>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lastRenderedPageBreak/>
        <w:t>1. Short title and commencement</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2E2BDE" w:rsidRPr="00BE0E8C" w:rsidRDefault="002E2BDE" w:rsidP="002E2BDE">
      <w:pPr>
        <w:pStyle w:val="head"/>
        <w:shd w:val="clear" w:color="auto" w:fill="FFFFFF"/>
        <w:spacing w:before="0" w:beforeAutospacing="0" w:after="0" w:afterAutospacing="0"/>
        <w:jc w:val="both"/>
        <w:rPr>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2. Definitions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BE0E8C">
        <w:rPr>
          <w:color w:val="000000"/>
        </w:rPr>
        <w:t>ja</w:t>
      </w:r>
      <w:proofErr w:type="spellEnd"/>
      <w:r w:rsidRPr="00BE0E8C">
        <w:rPr>
          <w:color w:val="000000"/>
        </w:rPr>
        <w:t>), (da) and (</w:t>
      </w:r>
      <w:proofErr w:type="spellStart"/>
      <w:r w:rsidRPr="00BE0E8C">
        <w:rPr>
          <w:color w:val="000000"/>
        </w:rPr>
        <w:t>nc</w:t>
      </w:r>
      <w:proofErr w:type="spellEnd"/>
      <w:r w:rsidRPr="00BE0E8C">
        <w:rPr>
          <w:color w:val="000000"/>
        </w:rPr>
        <w:t>), of section 5 respectively thereof, or a “cooperative bank” as defined in clause (cci) of section 5 read with section 56 of the said Act;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12" w:tgtFrame="_blank" w:history="1">
        <w:r w:rsidRPr="00BE0E8C">
          <w:rPr>
            <w:rStyle w:val="Hyperlink"/>
            <w:u w:val="none"/>
          </w:rPr>
          <w:t>the Electronic Trading Platform (Reserve Bank) Directions, 2018 dated October 05, 2018</w:t>
        </w:r>
      </w:hyperlink>
      <w:r w:rsidRPr="00BE0E8C">
        <w:rPr>
          <w:color w:val="000000"/>
        </w:rPr>
        <w:t>, as modified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3" w:tgtFrame="_blank" w:history="1">
        <w:r w:rsidRPr="00BE0E8C">
          <w:rPr>
            <w:rStyle w:val="Hyperlink"/>
            <w:u w:val="none"/>
          </w:rPr>
          <w:t>Guidelines for Licensing of Payments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4" w:tgtFrame="_blank" w:history="1">
        <w:r w:rsidRPr="00BE0E8C">
          <w:rPr>
            <w:rStyle w:val="Hyperlink"/>
            <w:u w:val="none"/>
          </w:rPr>
          <w:t>Guidelines for Licensing of Small Finance Banks” dated November 27, 2014</w:t>
        </w:r>
      </w:hyperlink>
      <w:r w:rsidRPr="00BE0E8C">
        <w:rPr>
          <w:color w:val="000000"/>
        </w:rPr>
        <w:t>, as amended from time to time;</w:t>
      </w:r>
    </w:p>
    <w:p w:rsidR="002E2BDE" w:rsidRPr="00BE0E8C" w:rsidRDefault="002E2BDE" w:rsidP="002E2BDE">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2E2BDE"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lastRenderedPageBreak/>
        <w:t>3. Participants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Payment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Small Finance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Regional Rural Banks;</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2E2BDE" w:rsidRPr="00BE0E8C" w:rsidRDefault="002E2BDE" w:rsidP="002E2BDE">
      <w:pPr>
        <w:pStyle w:val="NormalWeb"/>
        <w:numPr>
          <w:ilvl w:val="0"/>
          <w:numId w:val="2"/>
        </w:numPr>
        <w:shd w:val="clear" w:color="auto" w:fill="FFFFFF"/>
        <w:spacing w:before="0" w:beforeAutospacing="0" w:after="0" w:afterAutospacing="0"/>
        <w:jc w:val="both"/>
        <w:rPr>
          <w:color w:val="000000"/>
        </w:rPr>
      </w:pPr>
      <w:r w:rsidRPr="00BE0E8C">
        <w:rPr>
          <w:color w:val="000000"/>
        </w:rPr>
        <w:t>Primary Dealers.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4. Prudential limits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5" w:anchor="T1" w:history="1">
        <w:r w:rsidRPr="00BE0E8C">
          <w:rPr>
            <w:rStyle w:val="Hyperlink"/>
            <w:u w:val="none"/>
          </w:rPr>
          <w:t>Table 1</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2E2BDE" w:rsidRPr="00BE0E8C" w:rsidTr="00C20495">
        <w:trPr>
          <w:jc w:val="center"/>
        </w:trPr>
        <w:tc>
          <w:tcPr>
            <w:tcW w:w="0" w:type="auto"/>
            <w:gridSpan w:val="3"/>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2E2BDE" w:rsidRPr="00BE0E8C" w:rsidTr="00C20495">
        <w:trPr>
          <w:jc w:val="center"/>
        </w:trPr>
        <w:tc>
          <w:tcPr>
            <w:tcW w:w="3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2E2BDE" w:rsidRPr="00BE0E8C" w:rsidRDefault="002E2BDE" w:rsidP="00C20495">
            <w:pPr>
              <w:pStyle w:val="NormalWeb"/>
              <w:spacing w:before="0" w:beforeAutospacing="0" w:after="0" w:afterAutospacing="0"/>
              <w:jc w:val="both"/>
              <w:rPr>
                <w:color w:val="000000"/>
              </w:rPr>
            </w:pPr>
            <w:r w:rsidRPr="00BE0E8C">
              <w:rPr>
                <w:color w:val="000000"/>
              </w:rPr>
              <w:t>(ii) 125% of capital funds on any given day.</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2E2BDE" w:rsidRPr="00BE0E8C" w:rsidTr="00C20495">
        <w:trPr>
          <w:jc w:val="center"/>
        </w:trPr>
        <w:tc>
          <w:tcPr>
            <w:tcW w:w="0" w:type="auto"/>
            <w:tcMar>
              <w:top w:w="0" w:type="dxa"/>
              <w:left w:w="45" w:type="dxa"/>
              <w:bottom w:w="0" w:type="dxa"/>
              <w:right w:w="45" w:type="dxa"/>
            </w:tcMar>
            <w:hideMark/>
          </w:tcPr>
          <w:p w:rsidR="002E2BDE" w:rsidRPr="00BE0E8C" w:rsidRDefault="002E2BD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2E2BDE" w:rsidRPr="00BE0E8C" w:rsidRDefault="002E2BD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2E2BDE" w:rsidRPr="00BE0E8C" w:rsidRDefault="002E2BDE" w:rsidP="00C2049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xml:space="preserve">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for setting of limits in the NDS-CALL platform, under advice to the Financial Markets Regulation Department (FMRD) of the Reserve Bank through </w:t>
      </w:r>
      <w:hyperlink r:id="rId16" w:tgtFrame="_blank"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5. General guidelines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lastRenderedPageBreak/>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xml:space="preserve"> Any misreporting or multiple reporting of the same OTC markets deal by a counterparty shall be immediately brought to the notice of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and also to the Financial Markets Regulation Department, Reserve Bank of India, Central Office, Fort, Mumbai, through </w:t>
      </w:r>
      <w:hyperlink r:id="rId17" w:history="1">
        <w:r w:rsidRPr="00BE0E8C">
          <w:rPr>
            <w:rStyle w:val="Hyperlink"/>
            <w:u w:val="none"/>
          </w:rPr>
          <w:t>email</w:t>
        </w:r>
      </w:hyperlink>
      <w:r w:rsidRPr="00BE0E8C">
        <w:rPr>
          <w:color w:val="000000"/>
        </w:rPr>
        <w:t>.</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2E2BDE" w:rsidRPr="00BE0E8C" w:rsidRDefault="002E2BDE" w:rsidP="002E2BDE">
      <w:pPr>
        <w:pStyle w:val="NormalWeb"/>
        <w:shd w:val="clear" w:color="auto" w:fill="FFFFFF"/>
        <w:spacing w:before="0" w:beforeAutospacing="0" w:after="0" w:afterAutospacing="0"/>
        <w:jc w:val="both"/>
        <w:rPr>
          <w:rStyle w:val="head1"/>
          <w:b/>
          <w:bCs/>
          <w:color w:val="000000"/>
        </w:rPr>
      </w:pPr>
    </w:p>
    <w:p w:rsidR="002E2BDE" w:rsidRPr="00BE0E8C" w:rsidRDefault="002E2BDE" w:rsidP="002E2BDE">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18" w:tgtFrame="_blank" w:history="1">
        <w:r w:rsidRPr="00BE0E8C">
          <w:rPr>
            <w:rStyle w:val="Hyperlink"/>
            <w:u w:val="none"/>
          </w:rPr>
          <w:t>FMRD Master Direction No. 2/2016-17 dated July 07, 2016</w:t>
        </w:r>
      </w:hyperlink>
      <w:r w:rsidRPr="00BE0E8C">
        <w:rPr>
          <w:color w:val="000000"/>
        </w:rPr>
        <w:t>; Direction No. </w:t>
      </w:r>
      <w:hyperlink r:id="rId19" w:tgtFrame="_blank" w:history="1">
        <w:r w:rsidRPr="00BE0E8C">
          <w:rPr>
            <w:rStyle w:val="Hyperlink"/>
            <w:u w:val="none"/>
          </w:rPr>
          <w:t>FMRD.DIRD.09/14.01.001/2018-</w:t>
        </w:r>
        <w:r w:rsidRPr="00BE0E8C">
          <w:rPr>
            <w:rStyle w:val="Hyperlink"/>
            <w:u w:val="none"/>
          </w:rPr>
          <w:lastRenderedPageBreak/>
          <w:t>19 dated October 29, 2018</w:t>
        </w:r>
      </w:hyperlink>
      <w:r w:rsidRPr="00BE0E8C">
        <w:rPr>
          <w:color w:val="000000"/>
        </w:rPr>
        <w:t> and Direction No. </w:t>
      </w:r>
      <w:hyperlink r:id="rId20" w:tgtFrame="_blank" w:history="1">
        <w:r w:rsidRPr="00BE0E8C">
          <w:rPr>
            <w:rStyle w:val="Hyperlink"/>
            <w:u w:val="none"/>
          </w:rPr>
          <w:t>FMRD.DIRD.01/14.01.001/2020-21 dated December 04, 2020</w:t>
        </w:r>
      </w:hyperlink>
      <w:r w:rsidRPr="00BE0E8C">
        <w:rPr>
          <w:color w:val="000000"/>
        </w:rPr>
        <w:t>, shall continue to be applicable to transactions undertaken in accordance with the said Directions till the expiry of those contracts.</w:t>
      </w:r>
    </w:p>
    <w:p w:rsidR="002E2BDE" w:rsidRDefault="002E2BDE" w:rsidP="002E2BDE">
      <w:pPr>
        <w:pStyle w:val="NormalWeb"/>
        <w:pBdr>
          <w:bottom w:val="single" w:sz="12" w:space="1" w:color="auto"/>
        </w:pBdr>
        <w:shd w:val="clear" w:color="auto" w:fill="FFFFFF"/>
        <w:spacing w:before="0" w:beforeAutospacing="0" w:after="0" w:afterAutospacing="0"/>
        <w:jc w:val="both"/>
      </w:pPr>
    </w:p>
    <w:p w:rsidR="002E2BDE" w:rsidRPr="00BE0E8C" w:rsidRDefault="00562D95" w:rsidP="002E2BDE">
      <w:pPr>
        <w:pStyle w:val="NormalWeb"/>
        <w:pBdr>
          <w:bottom w:val="single" w:sz="12" w:space="1" w:color="auto"/>
        </w:pBdr>
        <w:shd w:val="clear" w:color="auto" w:fill="FFFFFF"/>
        <w:spacing w:before="0" w:beforeAutospacing="0" w:after="0" w:afterAutospacing="0"/>
        <w:jc w:val="both"/>
        <w:rPr>
          <w:color w:val="000000"/>
        </w:rPr>
      </w:pPr>
      <w:hyperlink r:id="rId21" w:history="1">
        <w:r w:rsidR="002E2BDE" w:rsidRPr="00BE0E8C">
          <w:rPr>
            <w:rStyle w:val="Hyperlink"/>
          </w:rPr>
          <w:t>https://www.rbi.org.in/Scripts/NotificationUser.aspx?Id=12061&amp;Mode=0</w:t>
        </w:r>
      </w:hyperlink>
    </w:p>
    <w:p w:rsidR="00AC2BF8" w:rsidRDefault="00562D95"/>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Reserve Bank of India (Call, Notice and Term Money Markets) Directions, 2021</w:t>
      </w:r>
    </w:p>
    <w:p w:rsidR="002E2BDE" w:rsidRDefault="002E2BDE" w:rsidP="002E2BDE">
      <w:pPr>
        <w:pStyle w:val="NormalWeb"/>
        <w:shd w:val="clear" w:color="auto" w:fill="FFFFFF"/>
        <w:spacing w:before="0" w:beforeAutospacing="0" w:after="0" w:afterAutospacing="0"/>
        <w:jc w:val="both"/>
        <w:rPr>
          <w:color w:val="000000"/>
        </w:rPr>
      </w:pPr>
    </w:p>
    <w:p w:rsidR="002E2BDE" w:rsidRPr="00544DBA" w:rsidRDefault="002E2BDE" w:rsidP="002E2BDE">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2E2BDE" w:rsidRPr="00544DBA" w:rsidRDefault="002E2BDE" w:rsidP="002E2BDE">
      <w:pPr>
        <w:pStyle w:val="NormalWeb"/>
        <w:shd w:val="clear" w:color="auto" w:fill="FFFFFF"/>
        <w:spacing w:before="0" w:beforeAutospacing="0" w:after="0" w:afterAutospacing="0"/>
        <w:jc w:val="both"/>
        <w:rPr>
          <w:b/>
          <w:color w:val="000000"/>
        </w:rPr>
      </w:pPr>
    </w:p>
    <w:p w:rsidR="002E2BDE" w:rsidRPr="00544DBA" w:rsidRDefault="002E2BDE" w:rsidP="002E2BDE">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2E2BDE" w:rsidRPr="00544DBA" w:rsidRDefault="002E2BDE" w:rsidP="002E2BDE">
      <w:pPr>
        <w:pStyle w:val="NormalWeb"/>
        <w:shd w:val="clear" w:color="auto" w:fill="FFFFFF"/>
        <w:spacing w:before="0" w:beforeAutospacing="0" w:after="0" w:afterAutospacing="0"/>
        <w:jc w:val="both"/>
        <w:rPr>
          <w:i/>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the Master Direction – Reserve Bank of India (Call, Notice and Term Money Markets) Directions, 2021 dated April 01, 2021 (hereinafter referred as ‘Master Directions’).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2E2BDE" w:rsidRPr="00544DBA" w:rsidRDefault="002E2BDE" w:rsidP="002E2BDE">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
        <w:gridCol w:w="2678"/>
        <w:gridCol w:w="4950"/>
      </w:tblGrid>
      <w:tr w:rsidR="002E2BDE" w:rsidRPr="00544DBA" w:rsidTr="00C20495">
        <w:tc>
          <w:tcPr>
            <w:tcW w:w="0" w:type="auto"/>
            <w:gridSpan w:val="3"/>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2E2BDE" w:rsidRPr="00544DBA" w:rsidTr="00C20495">
        <w:tc>
          <w:tcPr>
            <w:tcW w:w="30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Sr. No.</w:t>
            </w:r>
          </w:p>
        </w:tc>
        <w:tc>
          <w:tcPr>
            <w:tcW w:w="16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2E2BDE" w:rsidRPr="00544DBA" w:rsidTr="00C20495">
        <w:tc>
          <w:tcPr>
            <w:tcW w:w="0" w:type="auto"/>
            <w:tcMar>
              <w:top w:w="0" w:type="dxa"/>
              <w:left w:w="45" w:type="dxa"/>
              <w:bottom w:w="0" w:type="dxa"/>
              <w:right w:w="45" w:type="dxa"/>
            </w:tcMar>
            <w:hideMark/>
          </w:tcPr>
          <w:p w:rsidR="002E2BDE" w:rsidRPr="00544DBA" w:rsidRDefault="002E2BDE" w:rsidP="00C20495">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2E2BDE" w:rsidRPr="00544DBA" w:rsidRDefault="002E2BDE" w:rsidP="00C20495">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w:t>
            </w:r>
          </w:p>
        </w:tc>
      </w:tr>
    </w:tbl>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lastRenderedPageBreak/>
        <w:t>3. These Directions have been issued by RBI in exercise of the powers conferred under section 45W of the Reserve Bank of India Act, 1934 and of all the powers enabling it in this behalf.</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p>
    <w:p w:rsidR="002E2BDE" w:rsidRDefault="00562D95" w:rsidP="002E2BDE">
      <w:pPr>
        <w:pStyle w:val="NormalWeb"/>
        <w:pBdr>
          <w:bottom w:val="single" w:sz="12" w:space="1" w:color="auto"/>
        </w:pBdr>
        <w:shd w:val="clear" w:color="auto" w:fill="FFFFFF"/>
        <w:spacing w:before="0" w:beforeAutospacing="0" w:after="0" w:afterAutospacing="0"/>
        <w:jc w:val="both"/>
        <w:rPr>
          <w:color w:val="000000"/>
        </w:rPr>
      </w:pPr>
      <w:hyperlink r:id="rId22" w:history="1">
        <w:r w:rsidR="002E2BDE" w:rsidRPr="00C760EA">
          <w:rPr>
            <w:rStyle w:val="Hyperlink"/>
          </w:rPr>
          <w:t>https://www.rbi.org.in/Scripts/NotificationUser.aspx?Id=12120&amp;Mode=0</w:t>
        </w:r>
      </w:hyperlink>
      <w:r w:rsidR="002E2BDE" w:rsidRPr="00C760EA">
        <w:rPr>
          <w:color w:val="000000"/>
        </w:rPr>
        <w:t xml:space="preserve"> </w:t>
      </w:r>
    </w:p>
    <w:p w:rsidR="002E2BDE" w:rsidRDefault="002E2BDE"/>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Investment in Entities from FATF Non-</w:t>
      </w:r>
      <w:proofErr w:type="gramStart"/>
      <w:r w:rsidRPr="00C760EA">
        <w:rPr>
          <w:b/>
          <w:bCs/>
          <w:color w:val="000000"/>
        </w:rPr>
        <w:t>compliant</w:t>
      </w:r>
      <w:proofErr w:type="gramEnd"/>
      <w:r w:rsidRPr="00C760EA">
        <w:rPr>
          <w:b/>
          <w:bCs/>
          <w:color w:val="000000"/>
        </w:rPr>
        <w:t xml:space="preserve"> Jurisdictions</w:t>
      </w:r>
    </w:p>
    <w:p w:rsidR="002E2BDE" w:rsidRPr="00762028" w:rsidRDefault="002E2BDE" w:rsidP="002E2BDE">
      <w:pPr>
        <w:pStyle w:val="NormalWeb"/>
        <w:shd w:val="clear" w:color="auto" w:fill="FFFFFF"/>
        <w:spacing w:before="0" w:beforeAutospacing="0" w:after="0" w:afterAutospacing="0"/>
        <w:jc w:val="both"/>
        <w:rPr>
          <w:b/>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proofErr w:type="gramStart"/>
      <w:r w:rsidRPr="00762028">
        <w:rPr>
          <w:b/>
          <w:color w:val="000000"/>
        </w:rPr>
        <w:t>RBI/2021-22/55CO.DPSS.AUTH.No.S</w:t>
      </w:r>
      <w:proofErr w:type="gramEnd"/>
      <w:r w:rsidRPr="00762028">
        <w:rPr>
          <w:b/>
          <w:color w:val="000000"/>
        </w:rPr>
        <w:t>190/02.27.005/2021-22</w:t>
      </w:r>
      <w:r w:rsidRPr="00762028">
        <w:rPr>
          <w:b/>
          <w:color w:val="000000"/>
        </w:rPr>
        <w:tab/>
      </w:r>
      <w:r w:rsidRPr="00762028">
        <w:rPr>
          <w:b/>
          <w:color w:val="000000"/>
        </w:rPr>
        <w:tab/>
        <w:t>June 14, 2021</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above instructions, as amended from time to time, shall also apply to any entity that has applied for or that intends to apply for authorisation as a PSO under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2E2BDE" w:rsidRPr="00C760EA" w:rsidRDefault="002E2BDE" w:rsidP="002E2BDE">
      <w:pPr>
        <w:pStyle w:val="NormalWeb"/>
        <w:shd w:val="clear" w:color="auto" w:fill="FFFFFF"/>
        <w:spacing w:before="0" w:beforeAutospacing="0" w:after="0" w:afterAutospacing="0"/>
        <w:jc w:val="both"/>
        <w:rPr>
          <w:color w:val="000000"/>
        </w:rPr>
      </w:pPr>
    </w:p>
    <w:p w:rsidR="002E2BDE" w:rsidRPr="00762028" w:rsidRDefault="002E2BDE" w:rsidP="002E2BDE">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 xml:space="preserve">Potential voting power could arise from instruments that are convertible into equity, other instruments with contingent voting rights, contractual arrangements, etc., that grant investors voting rights (including contingent voting rights) in the future. In such cases, it should be </w:t>
      </w:r>
      <w:r w:rsidRPr="00762028">
        <w:rPr>
          <w:i/>
          <w:color w:val="000000"/>
        </w:rPr>
        <w:lastRenderedPageBreak/>
        <w:t>ensured that new investments from FATF non-compliant jurisdictions are less than both (i) 20 per cent of the existing voting powers, and (ii) 20 per cent of existing and potential voting powers assuming those potential voting rights have materialised.</w:t>
      </w:r>
    </w:p>
    <w:p w:rsidR="002E2BDE" w:rsidRDefault="002E2BDE"/>
    <w:p w:rsidR="00AB0AB3" w:rsidRPr="00BE0E8C" w:rsidRDefault="00AB0AB3" w:rsidP="00AB0AB3">
      <w:pPr>
        <w:pStyle w:val="NormalWeb"/>
        <w:shd w:val="clear" w:color="auto" w:fill="FFFFFF"/>
        <w:spacing w:before="0" w:beforeAutospacing="0" w:after="0" w:afterAutospacing="0"/>
        <w:jc w:val="both"/>
        <w:rPr>
          <w:b/>
          <w:color w:val="000000"/>
        </w:rPr>
      </w:pPr>
      <w:r w:rsidRPr="00BE0E8C">
        <w:rPr>
          <w:b/>
          <w:color w:val="000000"/>
        </w:rPr>
        <w:t>Risk-Based Internal Audit (RBIA)</w:t>
      </w:r>
    </w:p>
    <w:p w:rsidR="00AB0AB3" w:rsidRPr="00BE0E8C" w:rsidRDefault="00AB0AB3" w:rsidP="00AB0AB3">
      <w:pPr>
        <w:pStyle w:val="NormalWeb"/>
        <w:shd w:val="clear" w:color="auto" w:fill="FFFFFF"/>
        <w:spacing w:before="0" w:beforeAutospacing="0" w:after="0" w:afterAutospacing="0"/>
        <w:jc w:val="both"/>
        <w:rPr>
          <w:b/>
          <w:color w:val="000000"/>
        </w:rPr>
      </w:pPr>
    </w:p>
    <w:p w:rsidR="00AB0AB3" w:rsidRPr="00BE0E8C" w:rsidRDefault="00AB0AB3" w:rsidP="00AB0AB3">
      <w:pPr>
        <w:pStyle w:val="NormalWeb"/>
        <w:shd w:val="clear" w:color="auto" w:fill="FFFFFF"/>
        <w:spacing w:before="0" w:beforeAutospacing="0" w:after="0" w:afterAutospacing="0"/>
        <w:jc w:val="both"/>
        <w:rPr>
          <w:b/>
          <w:color w:val="000000"/>
        </w:rPr>
      </w:pPr>
      <w:r w:rsidRPr="00BE0E8C">
        <w:rPr>
          <w:b/>
          <w:color w:val="000000"/>
        </w:rPr>
        <w:t xml:space="preserve">RBI/2020-21/88 </w:t>
      </w:r>
      <w:proofErr w:type="spellStart"/>
      <w:proofErr w:type="gramStart"/>
      <w:r w:rsidRPr="00BE0E8C">
        <w:rPr>
          <w:b/>
          <w:color w:val="000000"/>
        </w:rPr>
        <w:t>Ref.No.DoS.CO.PPG</w:t>
      </w:r>
      <w:proofErr w:type="spellEnd"/>
      <w:r w:rsidRPr="00BE0E8C">
        <w:rPr>
          <w:b/>
          <w:color w:val="000000"/>
        </w:rPr>
        <w:t>./</w:t>
      </w:r>
      <w:proofErr w:type="gramEnd"/>
      <w:r w:rsidRPr="00BE0E8C">
        <w:rPr>
          <w:b/>
          <w:color w:val="000000"/>
        </w:rPr>
        <w:t>SEC.05/11.01.005/2020-21       February 03, 2021</w:t>
      </w:r>
    </w:p>
    <w:p w:rsidR="00AB0AB3" w:rsidRPr="00BE0E8C" w:rsidRDefault="00AB0AB3" w:rsidP="00AB0AB3">
      <w:pPr>
        <w:pStyle w:val="NormalWeb"/>
        <w:shd w:val="clear" w:color="auto" w:fill="FFFFFF"/>
        <w:spacing w:before="0" w:beforeAutospacing="0" w:after="0" w:afterAutospacing="0"/>
        <w:jc w:val="both"/>
        <w:rPr>
          <w:i/>
          <w:color w:val="000000"/>
        </w:rPr>
      </w:pPr>
    </w:p>
    <w:p w:rsidR="00AB0AB3" w:rsidRPr="00BE0E8C" w:rsidRDefault="00AB0AB3" w:rsidP="00AB0AB3">
      <w:pPr>
        <w:pStyle w:val="NormalWeb"/>
        <w:shd w:val="clear" w:color="auto" w:fill="FFFFFF"/>
        <w:spacing w:before="0" w:beforeAutospacing="0" w:after="0" w:afterAutospacing="0"/>
        <w:jc w:val="both"/>
        <w:rPr>
          <w:i/>
          <w:color w:val="000000"/>
        </w:rPr>
      </w:pPr>
      <w:r w:rsidRPr="00BE0E8C">
        <w:rPr>
          <w:i/>
          <w:color w:val="000000"/>
        </w:rPr>
        <w:t xml:space="preserve">The Chairman / Managing Director / Chief Executive Officer, </w:t>
      </w:r>
      <w:proofErr w:type="gramStart"/>
      <w:r w:rsidRPr="00BE0E8C">
        <w:rPr>
          <w:i/>
          <w:color w:val="000000"/>
        </w:rPr>
        <w:t>All</w:t>
      </w:r>
      <w:proofErr w:type="gramEnd"/>
      <w:r w:rsidRPr="00BE0E8C">
        <w:rPr>
          <w:i/>
          <w:color w:val="000000"/>
        </w:rPr>
        <w:t xml:space="preserve"> deposit taking Non-Banking Financial Companies (NBFCs), All non-deposit taking NBFCs (including Core Investment Companies) with asset size of ₹5,000 crore and above, All Primary (Urban) Co-operative Banks (UCBs) with asset size of ₹500 crore and above</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independent and effective internal audit function in a financial entity provides vital assurance to the Board and its senior management regarding the quality and effectiveness of the entity’s internal control, risk management and governance framework. The essential requirements for a robust internal audit function include, inter alia, sufficient authority, proper stature, independence, adequate resources and professional competence.</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range and commonality of risks faced by Supervised Entities (SEs) would warrant effective and harmonized systems and processes for the internal audit function across the SEs based on certain common guiding principles.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The introduction of Risk-Based Internal Audit (RBIA) system was mandated for all Scheduled Commercial Banks (except Regional Rural Banks) vide our </w:t>
      </w:r>
      <w:hyperlink r:id="rId23"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which was further supplemented vide </w:t>
      </w:r>
      <w:hyperlink r:id="rId24" w:tgtFrame="_blank" w:history="1">
        <w:r w:rsidRPr="00BE0E8C">
          <w:rPr>
            <w:rFonts w:ascii="Times New Roman" w:eastAsia="Times New Roman" w:hAnsi="Times New Roman" w:cs="Times New Roman"/>
            <w:color w:val="0000FF"/>
            <w:sz w:val="24"/>
            <w:szCs w:val="24"/>
            <w:u w:val="single"/>
            <w:lang w:eastAsia="en-IN"/>
          </w:rPr>
          <w:t xml:space="preserve">circular </w:t>
        </w:r>
        <w:proofErr w:type="spellStart"/>
        <w:r w:rsidRPr="00BE0E8C">
          <w:rPr>
            <w:rFonts w:ascii="Times New Roman" w:eastAsia="Times New Roman" w:hAnsi="Times New Roman" w:cs="Times New Roman"/>
            <w:color w:val="0000FF"/>
            <w:sz w:val="24"/>
            <w:szCs w:val="24"/>
            <w:u w:val="single"/>
            <w:lang w:eastAsia="en-IN"/>
          </w:rPr>
          <w:t>DoS.CO.PPG</w:t>
        </w:r>
        <w:proofErr w:type="spellEnd"/>
        <w:r w:rsidRPr="00BE0E8C">
          <w:rPr>
            <w:rFonts w:ascii="Times New Roman" w:eastAsia="Times New Roman" w:hAnsi="Times New Roman" w:cs="Times New Roman"/>
            <w:color w:val="0000FF"/>
            <w:sz w:val="24"/>
            <w:szCs w:val="24"/>
            <w:u w:val="single"/>
            <w:lang w:eastAsia="en-IN"/>
          </w:rPr>
          <w:t>./SEC.04/11.01.005/2020-21 dated January 07, 2021</w:t>
        </w:r>
      </w:hyperlink>
      <w:r w:rsidRPr="00BE0E8C">
        <w:rPr>
          <w:rFonts w:ascii="Times New Roman" w:eastAsia="Times New Roman" w:hAnsi="Times New Roman" w:cs="Times New Roman"/>
          <w:color w:val="000000"/>
          <w:sz w:val="24"/>
          <w:szCs w:val="24"/>
          <w:lang w:eastAsia="en-IN"/>
        </w:rPr>
        <w:t>. It has now been decided to mandate RBIA framework for the following Non-Banking Financial Companies (NBFCs) and Primary (Urban) Co-operative Banks (UCBs):</w:t>
      </w:r>
    </w:p>
    <w:p w:rsidR="00AB0AB3" w:rsidRPr="00BE0E8C" w:rsidRDefault="00AB0AB3" w:rsidP="00AB0AB3">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deposit taking NBFCs, irrespective of their size;</w:t>
      </w:r>
    </w:p>
    <w:p w:rsidR="00AB0AB3" w:rsidRPr="00BE0E8C" w:rsidRDefault="00AB0AB3" w:rsidP="00AB0AB3">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All Non-deposit taking NBFCs (including Core Investment Companies) with asset size of ₹5,000 </w:t>
      </w:r>
      <w:proofErr w:type="gramStart"/>
      <w:r w:rsidRPr="00BE0E8C">
        <w:rPr>
          <w:rFonts w:ascii="Times New Roman" w:eastAsia="Times New Roman" w:hAnsi="Times New Roman" w:cs="Times New Roman"/>
          <w:color w:val="000000"/>
          <w:sz w:val="24"/>
          <w:szCs w:val="24"/>
          <w:lang w:eastAsia="en-IN"/>
        </w:rPr>
        <w:t>crore</w:t>
      </w:r>
      <w:proofErr w:type="gramEnd"/>
      <w:r w:rsidRPr="00BE0E8C">
        <w:rPr>
          <w:rFonts w:ascii="Times New Roman" w:eastAsia="Times New Roman" w:hAnsi="Times New Roman" w:cs="Times New Roman"/>
          <w:color w:val="000000"/>
          <w:sz w:val="24"/>
          <w:szCs w:val="24"/>
          <w:lang w:eastAsia="en-IN"/>
        </w:rPr>
        <w:t xml:space="preserve"> and above; and</w:t>
      </w:r>
    </w:p>
    <w:p w:rsidR="00AB0AB3" w:rsidRPr="00BE0E8C" w:rsidRDefault="00AB0AB3" w:rsidP="00AB0AB3">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UCBs having asset size of ₹500 crore and above</w:t>
      </w:r>
      <w:hyperlink r:id="rId25"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Supervised Entities as indicated in Para 3 above shall implement the RBIA framework by March 31, 2022 in accordance with the Guidelines on Risk-Based Internal Audit provided in the enclosed </w:t>
      </w:r>
      <w:hyperlink r:id="rId26" w:anchor="ANN"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The Guidelines are intended to enhance the efficacy of internal audit systems and processes followed by the NBFCs and UCBs.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Further, in order to ensure smooth transition from the existing system of internal audit to RBIA, the concerned NBFCs and UCBs may constitute a committee of senior executives with the responsibility of formulating a suitable action plan. The committee may address transitional and change management issues and should report progress periodically to the Board and senior management.</w:t>
      </w:r>
    </w:p>
    <w:p w:rsidR="00AB0AB3" w:rsidRPr="00BE0E8C" w:rsidRDefault="00AB0AB3" w:rsidP="00AB0AB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This circular should be placed before the Board in its next meeting. The implementation of these guidelines as per timeline specified should be done under the oversight of the Board.</w:t>
      </w:r>
    </w:p>
    <w:p w:rsidR="00AB0AB3" w:rsidRPr="00BE0E8C" w:rsidRDefault="00AB0AB3" w:rsidP="00AB0AB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562D95" w:rsidP="00AB0AB3">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27" w:history="1">
        <w:r w:rsidR="00AB0AB3" w:rsidRPr="00BE0E8C">
          <w:rPr>
            <w:rStyle w:val="Hyperlink"/>
            <w:rFonts w:ascii="Times New Roman" w:eastAsia="Times New Roman" w:hAnsi="Times New Roman" w:cs="Times New Roman"/>
            <w:sz w:val="24"/>
            <w:szCs w:val="24"/>
            <w:lang w:eastAsia="en-IN"/>
          </w:rPr>
          <w:t>https://www.rbi.org.in/Scripts/NotificationUser.aspx?Id=12018&amp;Mode=0</w:t>
        </w:r>
      </w:hyperlink>
      <w:r w:rsidR="00AB0AB3" w:rsidRPr="00BE0E8C">
        <w:rPr>
          <w:rFonts w:ascii="Times New Roman" w:eastAsia="Times New Roman" w:hAnsi="Times New Roman" w:cs="Times New Roman"/>
          <w:color w:val="000000"/>
          <w:sz w:val="24"/>
          <w:szCs w:val="24"/>
          <w:lang w:eastAsia="en-IN"/>
        </w:rPr>
        <w:t xml:space="preserve"> </w:t>
      </w:r>
    </w:p>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lastRenderedPageBreak/>
        <w:t>Risk Based Internal Audit (RBIA) Framework – Strengthening Governance arrangements</w:t>
      </w:r>
    </w:p>
    <w:p w:rsidR="002E2BDE" w:rsidRPr="00BE0E8C" w:rsidRDefault="002E2BDE" w:rsidP="002E2BDE">
      <w:pPr>
        <w:spacing w:after="0" w:line="240" w:lineRule="auto"/>
        <w:jc w:val="both"/>
        <w:rPr>
          <w:rFonts w:ascii="Times New Roman" w:hAnsi="Times New Roman" w:cs="Times New Roman"/>
          <w:b/>
          <w:sz w:val="24"/>
          <w:szCs w:val="24"/>
        </w:rPr>
      </w:pPr>
    </w:p>
    <w:p w:rsidR="002E2BDE" w:rsidRPr="00BE0E8C" w:rsidRDefault="002E2BDE" w:rsidP="002E2BD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w:t>
      </w:r>
      <w:proofErr w:type="spellStart"/>
      <w:proofErr w:type="gramStart"/>
      <w:r w:rsidRPr="00BE0E8C">
        <w:rPr>
          <w:rFonts w:ascii="Times New Roman" w:hAnsi="Times New Roman" w:cs="Times New Roman"/>
          <w:b/>
          <w:sz w:val="24"/>
          <w:szCs w:val="24"/>
        </w:rPr>
        <w:t>Ref.No.DoS.CO.PPG</w:t>
      </w:r>
      <w:proofErr w:type="spellEnd"/>
      <w:r w:rsidRPr="00BE0E8C">
        <w:rPr>
          <w:rFonts w:ascii="Times New Roman" w:hAnsi="Times New Roman" w:cs="Times New Roman"/>
          <w:b/>
          <w:sz w:val="24"/>
          <w:szCs w:val="24"/>
        </w:rPr>
        <w:t>./</w:t>
      </w:r>
      <w:proofErr w:type="gramEnd"/>
      <w:r w:rsidRPr="00BE0E8C">
        <w:rPr>
          <w:rFonts w:ascii="Times New Roman" w:hAnsi="Times New Roman" w:cs="Times New Roman"/>
          <w:b/>
          <w:sz w:val="24"/>
          <w:szCs w:val="24"/>
        </w:rPr>
        <w:t xml:space="preserve">SEC.04/11.01.005/2020-21 </w:t>
      </w:r>
      <w:r w:rsidRPr="00BE0E8C">
        <w:rPr>
          <w:rFonts w:ascii="Times New Roman" w:hAnsi="Times New Roman" w:cs="Times New Roman"/>
          <w:b/>
          <w:sz w:val="24"/>
          <w:szCs w:val="24"/>
        </w:rPr>
        <w:tab/>
        <w:t>January 07, 2021</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2E2BDE" w:rsidRPr="00BE0E8C" w:rsidRDefault="002E2BDE" w:rsidP="002E2BDE">
      <w:pPr>
        <w:spacing w:after="0" w:line="240" w:lineRule="auto"/>
        <w:jc w:val="both"/>
        <w:rPr>
          <w:rFonts w:ascii="Times New Roman" w:hAnsi="Times New Roman" w:cs="Times New Roman"/>
          <w:sz w:val="24"/>
          <w:szCs w:val="24"/>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28"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have the authority to communicate with any staff member and have access to all records or files that are necessary to carry out the entrusted responsibilities.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xml:space="preserve"> - The HIA shall directly report to either the Audit Committee of the Board (ACB) / MD &amp; CEO or Whole Time Director (WTD). Should the Board of </w:t>
      </w:r>
      <w:r w:rsidRPr="00BE0E8C">
        <w:rPr>
          <w:rFonts w:ascii="Times New Roman" w:eastAsia="Times New Roman" w:hAnsi="Times New Roman" w:cs="Times New Roman"/>
          <w:color w:val="000000"/>
          <w:sz w:val="24"/>
          <w:szCs w:val="24"/>
          <w:lang w:eastAsia="en-IN"/>
        </w:rPr>
        <w:lastRenderedPageBreak/>
        <w:t>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2E2BDE" w:rsidRPr="00BE0E8C" w:rsidRDefault="002E2BDE" w:rsidP="002E2BDE">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2E2BDE" w:rsidRPr="00BE0E8C" w:rsidRDefault="002E2BDE" w:rsidP="002E2BDE">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2E2BDE" w:rsidRPr="00BE0E8C"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29"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on Risk-based internal audit along with other circulars/instruction on the subject issued from time-to time and for any common areas of guidance, the prescription of this circular shall be followed.</w:t>
      </w:r>
    </w:p>
    <w:p w:rsidR="002E2BDE" w:rsidRPr="00BE0E8C" w:rsidRDefault="002E2BDE"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BE0E8C" w:rsidRDefault="00562D95" w:rsidP="002E2BD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30" w:history="1">
        <w:r w:rsidR="002E2BDE" w:rsidRPr="00BE0E8C">
          <w:rPr>
            <w:rStyle w:val="Hyperlink"/>
            <w:rFonts w:ascii="Times New Roman" w:eastAsia="Times New Roman" w:hAnsi="Times New Roman" w:cs="Times New Roman"/>
            <w:sz w:val="24"/>
            <w:szCs w:val="24"/>
            <w:lang w:eastAsia="en-IN"/>
          </w:rPr>
          <w:t>https://www.rbi.org.in/Scripts/NotificationUser.aspx?Id=12011&amp;Mode=0</w:t>
        </w:r>
      </w:hyperlink>
      <w:r w:rsidR="002E2BDE" w:rsidRPr="00BE0E8C">
        <w:rPr>
          <w:rFonts w:ascii="Times New Roman" w:eastAsia="Times New Roman" w:hAnsi="Times New Roman" w:cs="Times New Roman"/>
          <w:color w:val="000000"/>
          <w:sz w:val="24"/>
          <w:szCs w:val="24"/>
          <w:lang w:eastAsia="en-IN"/>
        </w:rPr>
        <w:t xml:space="preserve"> </w:t>
      </w:r>
    </w:p>
    <w:p w:rsidR="002E2BDE" w:rsidRPr="00BE0E8C"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Transactions in Government securities by Foreign Portfolio Investors: Reporting</w:t>
      </w: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762028" w:rsidRDefault="002E2BDE" w:rsidP="002E2BDE">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2E2BDE" w:rsidRDefault="002E2BDE" w:rsidP="002E2BDE">
      <w:pPr>
        <w:pStyle w:val="NormalWeb"/>
        <w:shd w:val="clear" w:color="auto" w:fill="FFFFFF"/>
        <w:spacing w:before="0" w:beforeAutospacing="0" w:after="0" w:afterAutospacing="0"/>
        <w:jc w:val="both"/>
        <w:rPr>
          <w:i/>
          <w:color w:val="000000"/>
        </w:rPr>
      </w:pPr>
    </w:p>
    <w:p w:rsidR="002E2BDE" w:rsidRPr="00762028" w:rsidRDefault="002E2BDE" w:rsidP="002E2BDE">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lastRenderedPageBreak/>
        <w:t>FPIs/custodian banks shall report their transactions to the NDS-OM platform within three hours after the close of trading hours for the Government securities market.</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 xml:space="preserve">Information about trades undertaken by domestic counterparties with FPIs shall be disseminated by the </w:t>
      </w:r>
      <w:proofErr w:type="spellStart"/>
      <w:r w:rsidRPr="00C760EA">
        <w:rPr>
          <w:color w:val="000000"/>
        </w:rPr>
        <w:t>Clearcorp</w:t>
      </w:r>
      <w:proofErr w:type="spellEnd"/>
      <w:r w:rsidRPr="00C760EA">
        <w:rPr>
          <w:color w:val="000000"/>
        </w:rPr>
        <w:t xml:space="preserve"> Dealing Systems (India) Ltd. (CDSL) after one leg of the trade is reported on the NDS-OM platform by the domestic counterparty with a suitable qualifier to indicate that the trade is awaiting counterparty confirmation.</w:t>
      </w:r>
    </w:p>
    <w:p w:rsidR="002E2BDE" w:rsidRPr="00C760EA" w:rsidRDefault="002E2BDE" w:rsidP="002E2BDE">
      <w:pPr>
        <w:pStyle w:val="NormalWeb"/>
        <w:numPr>
          <w:ilvl w:val="0"/>
          <w:numId w:val="4"/>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These Directions are issued under the powers vested in the Reserve Bank of India under Section 45W of the Reserve Bank of India Act, 1934 and are without prejudice to permissions/ approvals, if any, required under any other law.</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2E2BDE" w:rsidRDefault="002E2BDE"/>
    <w:p w:rsidR="002E2BDE" w:rsidRPr="00C760EA" w:rsidRDefault="002E2BDE" w:rsidP="002E2BDE">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2E2BDE" w:rsidRDefault="002E2BDE" w:rsidP="002E2BD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Pr="00762028" w:rsidRDefault="002E2BDE" w:rsidP="002E2BD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2E2BDE" w:rsidRDefault="002E2BDE" w:rsidP="002E2BDE">
      <w:pPr>
        <w:pStyle w:val="NormalWeb"/>
        <w:spacing w:before="0" w:beforeAutospacing="0" w:after="0" w:afterAutospacing="0"/>
        <w:jc w:val="both"/>
        <w:rPr>
          <w:color w:val="000000"/>
        </w:rPr>
      </w:pPr>
    </w:p>
    <w:p w:rsidR="002E2BDE" w:rsidRPr="00762028" w:rsidRDefault="002E2BDE" w:rsidP="002E2BDE">
      <w:pPr>
        <w:pStyle w:val="NormalWeb"/>
        <w:spacing w:before="0" w:beforeAutospacing="0" w:after="0" w:afterAutospacing="0"/>
        <w:jc w:val="both"/>
        <w:rPr>
          <w:i/>
          <w:color w:val="000000"/>
        </w:rPr>
      </w:pPr>
      <w:r w:rsidRPr="00762028">
        <w:rPr>
          <w:i/>
          <w:color w:val="000000"/>
        </w:rPr>
        <w:t>All Eligible Market Participants</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color w:val="000000"/>
        </w:rPr>
      </w:pPr>
      <w:r w:rsidRPr="00C760EA">
        <w:rPr>
          <w:color w:val="000000"/>
        </w:rPr>
        <w:t>Please refer to Paragraph 6 of the </w:t>
      </w:r>
      <w:hyperlink r:id="rId31" w:tgtFrame="_blank" w:history="1">
        <w:r w:rsidRPr="00C760EA">
          <w:rPr>
            <w:rStyle w:val="Hyperlink"/>
          </w:rPr>
          <w:t>Statement on Developmental and Regulatory Policies</w:t>
        </w:r>
      </w:hyperlink>
      <w:r w:rsidRPr="00C760EA">
        <w:rPr>
          <w:color w:val="000000"/>
        </w:rPr>
        <w:t>, announced as a part of the </w:t>
      </w:r>
      <w:hyperlink r:id="rId32"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33" w:tgtFrame="_blank" w:history="1">
        <w:r w:rsidRPr="00C760EA">
          <w:rPr>
            <w:rStyle w:val="Hyperlink"/>
          </w:rPr>
          <w:t>Statement on Developmental and Regulatory Policies</w:t>
        </w:r>
      </w:hyperlink>
      <w:r w:rsidRPr="00C760EA">
        <w:rPr>
          <w:color w:val="000000"/>
        </w:rPr>
        <w:t>, announced as a part of the </w:t>
      </w:r>
      <w:hyperlink r:id="rId34"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2E2BDE" w:rsidRDefault="002E2BDE" w:rsidP="002E2BDE">
      <w:pPr>
        <w:pStyle w:val="NormalWeb"/>
        <w:spacing w:before="0" w:beforeAutospacing="0" w:after="0" w:afterAutospacing="0"/>
        <w:jc w:val="both"/>
        <w:rPr>
          <w:color w:val="000000"/>
        </w:rPr>
      </w:pPr>
    </w:p>
    <w:p w:rsidR="002E2BDE" w:rsidRPr="00C760EA" w:rsidRDefault="002E2BDE" w:rsidP="002E2BDE">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35"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2E2BDE" w:rsidRPr="00C760EA" w:rsidRDefault="002E2BDE" w:rsidP="002E2BDE">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Pr>
        <w:t>FMRD.Master</w:t>
      </w:r>
      <w:proofErr w:type="spellEnd"/>
      <w:r w:rsidRPr="00C760EA">
        <w:rPr>
          <w:rStyle w:val="Hyperlink"/>
        </w:rPr>
        <w:t xml:space="preserve"> Direction No. 2/2016-17 dated July 07, 2016</w:t>
      </w:r>
      <w:r>
        <w:rPr>
          <w:rStyle w:val="Hyperlink"/>
        </w:rPr>
        <w:fldChar w:fldCharType="end"/>
      </w:r>
      <w:r w:rsidRPr="00C760EA">
        <w:rPr>
          <w:color w:val="000000"/>
        </w:rPr>
        <w:t>, the Reserve Bank of India (hereinafter called the Reserve Bank) hereby issues the following Directions to all persons and agencies eligible to deal in Certificate of Deposit.</w:t>
      </w:r>
    </w:p>
    <w:p w:rsidR="002E2BDE" w:rsidRDefault="002E2BDE" w:rsidP="002E2BDE">
      <w:pPr>
        <w:pStyle w:val="head"/>
        <w:spacing w:before="0" w:beforeAutospacing="0" w:after="0" w:afterAutospacing="0"/>
        <w:jc w:val="both"/>
        <w:rPr>
          <w:b/>
          <w:bCs/>
          <w:color w:val="000000"/>
        </w:rPr>
      </w:pPr>
    </w:p>
    <w:p w:rsidR="002E2BDE" w:rsidRDefault="002E2BDE" w:rsidP="002E2BDE">
      <w:pPr>
        <w:pStyle w:val="head"/>
        <w:spacing w:before="0" w:beforeAutospacing="0" w:after="0" w:afterAutospacing="0"/>
        <w:jc w:val="both"/>
        <w:rPr>
          <w:b/>
          <w:bCs/>
          <w:color w:val="000000"/>
        </w:rPr>
      </w:pPr>
      <w:r>
        <w:rPr>
          <w:b/>
          <w:bCs/>
          <w:color w:val="000000"/>
        </w:rPr>
        <w:t>Master Direction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1. Short title, scope and commencement</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lastRenderedPageBreak/>
        <w:t>2. Definitions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C760EA">
        <w:rPr>
          <w:color w:val="000000"/>
        </w:rPr>
        <w:t>ja</w:t>
      </w:r>
      <w:proofErr w:type="spellEnd"/>
      <w:r w:rsidRPr="00C760EA">
        <w:rPr>
          <w:color w:val="000000"/>
        </w:rPr>
        <w:t>), (da) and (</w:t>
      </w:r>
      <w:proofErr w:type="spellStart"/>
      <w:r w:rsidRPr="00C760EA">
        <w:rPr>
          <w:color w:val="000000"/>
        </w:rPr>
        <w:t>nc</w:t>
      </w:r>
      <w:proofErr w:type="spellEnd"/>
      <w:r w:rsidRPr="00C760EA">
        <w:rPr>
          <w:color w:val="000000"/>
        </w:rPr>
        <w:t>), of section 5 respectively thereof, or a “cooperative bank” as defined in clause (cci) of section 5 read with section 56 of the said Act;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xml:space="preserve"> is a negotiable, unsecured money market instrument issued by a bank as a </w:t>
      </w:r>
      <w:proofErr w:type="spellStart"/>
      <w:r w:rsidRPr="00C760EA">
        <w:rPr>
          <w:color w:val="000000"/>
        </w:rPr>
        <w:t>Usance</w:t>
      </w:r>
      <w:proofErr w:type="spellEnd"/>
      <w:r w:rsidRPr="00C760EA">
        <w:rPr>
          <w:color w:val="000000"/>
        </w:rPr>
        <w:t xml:space="preserve"> Promissory Note against funds deposited at the bank for a maturity period </w:t>
      </w:r>
      <w:proofErr w:type="spellStart"/>
      <w:r w:rsidRPr="00C760EA">
        <w:rPr>
          <w:color w:val="000000"/>
        </w:rPr>
        <w:t>upto</w:t>
      </w:r>
      <w:proofErr w:type="spellEnd"/>
      <w:r w:rsidRPr="00C760EA">
        <w:rPr>
          <w:color w:val="000000"/>
        </w:rPr>
        <w:t xml:space="preserve"> one year;</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“Delivery versus Payment” or “</w:t>
      </w:r>
      <w:proofErr w:type="spellStart"/>
      <w:r w:rsidRPr="00C760EA">
        <w:rPr>
          <w:rStyle w:val="head1"/>
          <w:b/>
          <w:bCs/>
          <w:color w:val="000000"/>
        </w:rPr>
        <w:t>DvP</w:t>
      </w:r>
      <w:proofErr w:type="spellEnd"/>
      <w:r w:rsidRPr="00C760EA">
        <w:rPr>
          <w:rStyle w:val="head1"/>
          <w:b/>
          <w:bCs/>
          <w:color w:val="000000"/>
        </w:rPr>
        <w:t>”</w:t>
      </w:r>
      <w:r w:rsidRPr="00C760EA">
        <w:rPr>
          <w:color w:val="000000"/>
        </w:rPr>
        <w:t> means a settlement mechanism which stipulates that transfer of funds from the buyer of securities is made simultaneously with the transfer of securities by the seller of securities;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36" w:tgtFrame="_blank" w:history="1">
        <w:r w:rsidRPr="00C760EA">
          <w:rPr>
            <w:rStyle w:val="Hyperlink"/>
          </w:rPr>
          <w:t>Financial Benchmark Administrators (Reserve Bank) Directions, dated June 26, 2019</w:t>
        </w:r>
      </w:hyperlink>
      <w:r w:rsidRPr="00C760EA">
        <w:rPr>
          <w:color w:val="000000"/>
        </w:rPr>
        <w:t>;</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2E2BDE" w:rsidRPr="00C760EA" w:rsidRDefault="002E2BDE" w:rsidP="002E2BDE">
      <w:pPr>
        <w:pStyle w:val="NormalWeb"/>
        <w:numPr>
          <w:ilvl w:val="0"/>
          <w:numId w:val="5"/>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37" w:tgtFrame="_blank" w:history="1">
        <w:r w:rsidRPr="00C760EA">
          <w:rPr>
            <w:rStyle w:val="Hyperlink"/>
          </w:rPr>
          <w:t>Guidelines for Licensing of Small Finance Banks” dated November 27, 2014</w:t>
        </w:r>
      </w:hyperlink>
      <w:r w:rsidRPr="00C760EA">
        <w:rPr>
          <w:color w:val="000000"/>
        </w:rPr>
        <w:t>, as amended from time to time.</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3. Eligible issuers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Scheduled Commercial Banks;</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Regional Rural Banks; and</w:t>
      </w:r>
    </w:p>
    <w:p w:rsidR="002E2BDE" w:rsidRPr="00C760EA" w:rsidRDefault="002E2BDE" w:rsidP="002E2BDE">
      <w:pPr>
        <w:pStyle w:val="NormalWeb"/>
        <w:numPr>
          <w:ilvl w:val="0"/>
          <w:numId w:val="6"/>
        </w:numPr>
        <w:spacing w:before="0" w:beforeAutospacing="0" w:after="0" w:afterAutospacing="0"/>
        <w:jc w:val="both"/>
        <w:rPr>
          <w:color w:val="000000"/>
        </w:rPr>
      </w:pPr>
      <w:r w:rsidRPr="00C760EA">
        <w:rPr>
          <w:color w:val="000000"/>
        </w:rPr>
        <w:t>Small Finance Banks.</w:t>
      </w:r>
    </w:p>
    <w:p w:rsidR="002E2BDE" w:rsidRPr="00C760EA" w:rsidRDefault="002E2BDE" w:rsidP="002E2BDE">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38"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4. Eligible investors</w:t>
      </w:r>
    </w:p>
    <w:p w:rsidR="002E2BDE" w:rsidRPr="00C760EA" w:rsidRDefault="002E2BDE" w:rsidP="002E2BDE">
      <w:pPr>
        <w:pStyle w:val="NormalWeb"/>
        <w:spacing w:before="0" w:beforeAutospacing="0" w:after="0" w:afterAutospacing="0"/>
        <w:jc w:val="both"/>
        <w:rPr>
          <w:color w:val="000000"/>
        </w:rPr>
      </w:pPr>
      <w:r w:rsidRPr="00C760EA">
        <w:rPr>
          <w:color w:val="000000"/>
        </w:rPr>
        <w:t xml:space="preserve">CDs may be issued to all </w:t>
      </w:r>
      <w:proofErr w:type="gramStart"/>
      <w:r w:rsidRPr="00C760EA">
        <w:rPr>
          <w:color w:val="000000"/>
        </w:rPr>
        <w:t>persons</w:t>
      </w:r>
      <w:proofErr w:type="gramEnd"/>
      <w:r w:rsidRPr="00C760EA">
        <w:rPr>
          <w:color w:val="000000"/>
        </w:rPr>
        <w:t xml:space="preserve"> resident in India.</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lastRenderedPageBreak/>
        <w:t>5. General guidelines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 xml:space="preserve">CDs shall be issued in minimum denomination of ₹5 </w:t>
      </w:r>
      <w:proofErr w:type="gramStart"/>
      <w:r w:rsidRPr="00C760EA">
        <w:rPr>
          <w:color w:val="000000"/>
        </w:rPr>
        <w:t>lakh</w:t>
      </w:r>
      <w:proofErr w:type="gramEnd"/>
      <w:r w:rsidRPr="00C760EA">
        <w:rPr>
          <w:color w:val="000000"/>
        </w:rPr>
        <w:t xml:space="preserve"> and in multiples of ₹5 lakh thereafter.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2E2BDE" w:rsidRPr="00C760EA" w:rsidRDefault="002E2BDE" w:rsidP="002E2BDE">
      <w:pPr>
        <w:pStyle w:val="NormalWeb"/>
        <w:numPr>
          <w:ilvl w:val="0"/>
          <w:numId w:val="7"/>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Discount/coupon rate</w:t>
      </w:r>
    </w:p>
    <w:p w:rsidR="002E2BDE" w:rsidRPr="00C760EA" w:rsidRDefault="002E2BDE" w:rsidP="002E2BDE">
      <w:pPr>
        <w:pStyle w:val="NormalWeb"/>
        <w:spacing w:before="0" w:beforeAutospacing="0" w:after="0" w:afterAutospacing="0"/>
        <w:jc w:val="both"/>
        <w:rPr>
          <w:color w:val="000000"/>
        </w:rPr>
      </w:pPr>
      <w:r w:rsidRPr="00C760EA">
        <w:rPr>
          <w:color w:val="000000"/>
        </w:rPr>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Secondary market - trading venues and settlement</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The settlement cycle for OTC trades in CDs shall be T+0 or T+1.</w:t>
      </w:r>
    </w:p>
    <w:p w:rsidR="002E2BDE" w:rsidRPr="00C760EA" w:rsidRDefault="002E2BDE" w:rsidP="002E2BDE">
      <w:pPr>
        <w:pStyle w:val="NormalWeb"/>
        <w:numPr>
          <w:ilvl w:val="0"/>
          <w:numId w:val="8"/>
        </w:numPr>
        <w:spacing w:before="0" w:beforeAutospacing="0" w:after="0" w:afterAutospacing="0"/>
        <w:jc w:val="both"/>
        <w:rPr>
          <w:color w:val="000000"/>
        </w:rPr>
      </w:pPr>
      <w:r w:rsidRPr="00C760EA">
        <w:rPr>
          <w:color w:val="000000"/>
        </w:rPr>
        <w:t xml:space="preserve">All secondary market transactions in CDs shall be settled on a </w:t>
      </w:r>
      <w:proofErr w:type="spellStart"/>
      <w:r w:rsidRPr="00C760EA">
        <w:rPr>
          <w:color w:val="000000"/>
        </w:rPr>
        <w:t>DvP</w:t>
      </w:r>
      <w:proofErr w:type="spellEnd"/>
      <w:r w:rsidRPr="00C760EA">
        <w:rPr>
          <w:color w:val="000000"/>
        </w:rPr>
        <w:t xml:space="preserve"> basis through the clearing corporation of any recognized stock exchange or any other mechanism approved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Loans against CDs</w:t>
      </w:r>
    </w:p>
    <w:p w:rsidR="002E2BDE" w:rsidRPr="00C760EA" w:rsidRDefault="002E2BDE" w:rsidP="002E2BDE">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(e) Buyback of CDs</w:t>
      </w:r>
    </w:p>
    <w:p w:rsidR="002E2BDE" w:rsidRPr="00C760EA" w:rsidRDefault="002E2BDE" w:rsidP="002E2BDE">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can be made only 7 days after the date of issue of the CD;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Buyback of CDs shall be at the prevailing market price; and</w:t>
      </w:r>
    </w:p>
    <w:p w:rsidR="002E2BDE" w:rsidRPr="00C760EA" w:rsidRDefault="002E2BDE" w:rsidP="002E2BDE">
      <w:pPr>
        <w:pStyle w:val="NormalWeb"/>
        <w:numPr>
          <w:ilvl w:val="0"/>
          <w:numId w:val="9"/>
        </w:numPr>
        <w:spacing w:before="0" w:beforeAutospacing="0" w:after="0" w:afterAutospacing="0"/>
        <w:jc w:val="both"/>
        <w:rPr>
          <w:color w:val="000000"/>
        </w:rPr>
      </w:pPr>
      <w:r w:rsidRPr="00C760EA">
        <w:rPr>
          <w:color w:val="000000"/>
        </w:rPr>
        <w:t>CDs bought back, partially or in full, shall be extinguished.</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(f) Market timings</w:t>
      </w:r>
    </w:p>
    <w:p w:rsidR="002E2BDE" w:rsidRPr="00C760EA" w:rsidRDefault="002E2BDE" w:rsidP="002E2BDE">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(g) Repayment of CD</w:t>
      </w:r>
    </w:p>
    <w:p w:rsidR="002E2BDE" w:rsidRPr="00C760EA" w:rsidRDefault="002E2BDE" w:rsidP="002E2BDE">
      <w:pPr>
        <w:pStyle w:val="NormalWeb"/>
        <w:spacing w:before="0" w:beforeAutospacing="0" w:after="0" w:afterAutospacing="0"/>
        <w:jc w:val="both"/>
        <w:rPr>
          <w:color w:val="000000"/>
        </w:rPr>
      </w:pPr>
      <w:r w:rsidRPr="00C760EA">
        <w:rPr>
          <w:color w:val="000000"/>
        </w:rPr>
        <w:t>There will be no grace period for repayment of CDs.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(h) Market practices and documentation</w:t>
      </w:r>
    </w:p>
    <w:p w:rsidR="002E2BDE" w:rsidRPr="00C760EA" w:rsidRDefault="002E2BDE" w:rsidP="002E2BDE">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(i) Reserve requirements</w:t>
      </w:r>
    </w:p>
    <w:p w:rsidR="002E2BDE" w:rsidRPr="00C760EA" w:rsidRDefault="002E2BDE" w:rsidP="002E2BDE">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(j) Accounting</w:t>
      </w:r>
    </w:p>
    <w:p w:rsidR="002E2BDE" w:rsidRPr="00C760EA" w:rsidRDefault="002E2BDE" w:rsidP="002E2BDE">
      <w:pPr>
        <w:pStyle w:val="NormalWeb"/>
        <w:spacing w:before="0" w:beforeAutospacing="0" w:after="0" w:afterAutospacing="0"/>
        <w:jc w:val="both"/>
        <w:rPr>
          <w:color w:val="000000"/>
        </w:rPr>
      </w:pPr>
      <w:r w:rsidRPr="00C760EA">
        <w:rPr>
          <w:color w:val="000000"/>
        </w:rPr>
        <w:lastRenderedPageBreak/>
        <w:t>Accounting for CD transactions shall be as per the applicable accounting standards prescribed by the Institute of Chartered Accountants of India (ICAI) or other standard setting organisations or as specified by the relevant regulations of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6. Reporting requirements</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(a) Primary issuance</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(b) Secondary market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(c) Buyback transactions</w:t>
      </w:r>
    </w:p>
    <w:p w:rsidR="002E2BDE" w:rsidRPr="00C760EA" w:rsidRDefault="002E2BDE" w:rsidP="002E2BDE">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2E2BDE" w:rsidRPr="00C760EA" w:rsidRDefault="002E2BDE" w:rsidP="002E2BDE">
      <w:pPr>
        <w:pStyle w:val="head"/>
        <w:spacing w:before="0" w:beforeAutospacing="0" w:after="0" w:afterAutospacing="0"/>
        <w:jc w:val="both"/>
        <w:rPr>
          <w:b/>
          <w:bCs/>
          <w:color w:val="000000"/>
        </w:rPr>
      </w:pPr>
      <w:r w:rsidRPr="00C760EA">
        <w:rPr>
          <w:b/>
          <w:bCs/>
          <w:color w:val="000000"/>
        </w:rPr>
        <w:t>(d) Reporting by depositories</w:t>
      </w:r>
    </w:p>
    <w:p w:rsidR="002E2BDE" w:rsidRPr="00C760EA" w:rsidRDefault="002E2BDE" w:rsidP="002E2BDE">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39"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8. Dissemination of data</w:t>
      </w:r>
    </w:p>
    <w:p w:rsidR="002E2BDE" w:rsidRPr="00C760EA" w:rsidRDefault="002E2BDE" w:rsidP="002E2BDE">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9. Violation of Directions</w:t>
      </w:r>
    </w:p>
    <w:p w:rsidR="002E2BDE" w:rsidRPr="00C760EA" w:rsidRDefault="002E2BDE" w:rsidP="002E2BDE">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2E2BDE" w:rsidRDefault="002E2BDE" w:rsidP="002E2BDE">
      <w:pPr>
        <w:pStyle w:val="head"/>
        <w:spacing w:before="0" w:beforeAutospacing="0" w:after="0" w:afterAutospacing="0"/>
        <w:jc w:val="both"/>
        <w:rPr>
          <w:b/>
          <w:bCs/>
          <w:color w:val="000000"/>
        </w:rPr>
      </w:pPr>
    </w:p>
    <w:p w:rsidR="002E2BDE" w:rsidRPr="00C760EA" w:rsidRDefault="002E2BDE" w:rsidP="002E2BDE">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2E2BDE" w:rsidRPr="00C760EA" w:rsidRDefault="002E2BDE" w:rsidP="002E2BDE">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2E2BDE" w:rsidRDefault="002E2BDE" w:rsidP="002E2BDE">
      <w:pPr>
        <w:shd w:val="clear" w:color="auto" w:fill="FFFFFF"/>
        <w:spacing w:after="0" w:line="240" w:lineRule="auto"/>
        <w:jc w:val="both"/>
        <w:rPr>
          <w:rStyle w:val="head1"/>
          <w:rFonts w:ascii="Times New Roman" w:hAnsi="Times New Roman" w:cs="Times New Roman"/>
          <w:b/>
          <w:bCs/>
          <w:color w:val="000000"/>
          <w:sz w:val="24"/>
          <w:szCs w:val="24"/>
        </w:rPr>
      </w:pPr>
    </w:p>
    <w:p w:rsidR="002E2BDE" w:rsidRDefault="002E2BDE" w:rsidP="002E2BDE">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proofErr w:type="spellStart"/>
      <w:r>
        <w:fldChar w:fldCharType="begin"/>
      </w:r>
      <w:r>
        <w:instrText xml:space="preserve"> HYPERLINK "https://www.rbi.org.in/Scripts/BS_ViewMasDirections.aspx?id=10495" \t "_blank" </w:instrText>
      </w:r>
      <w:r>
        <w:fldChar w:fldCharType="separate"/>
      </w:r>
      <w:r w:rsidRPr="00C760EA">
        <w:rPr>
          <w:rStyle w:val="Hyperlink"/>
          <w:rFonts w:ascii="Times New Roman" w:hAnsi="Times New Roman" w:cs="Times New Roman"/>
          <w:sz w:val="24"/>
          <w:szCs w:val="24"/>
        </w:rPr>
        <w:t>FMRD.Master</w:t>
      </w:r>
      <w:proofErr w:type="spellEnd"/>
      <w:r w:rsidRPr="00C760EA">
        <w:rPr>
          <w:rStyle w:val="Hyperlink"/>
          <w:rFonts w:ascii="Times New Roman" w:hAnsi="Times New Roman" w:cs="Times New Roman"/>
          <w:sz w:val="24"/>
          <w:szCs w:val="24"/>
        </w:rPr>
        <w:t xml:space="preserve"> Direction </w:t>
      </w:r>
      <w:r w:rsidRPr="00C760EA">
        <w:rPr>
          <w:rStyle w:val="Hyperlink"/>
          <w:rFonts w:ascii="Times New Roman" w:hAnsi="Times New Roman" w:cs="Times New Roman"/>
          <w:sz w:val="24"/>
          <w:szCs w:val="24"/>
        </w:rPr>
        <w:lastRenderedPageBreak/>
        <w:t>No. 2/2016-17 dated July 07, 2016</w:t>
      </w:r>
      <w:r>
        <w:rPr>
          <w:rStyle w:val="Hyperlink"/>
          <w:rFonts w:ascii="Times New Roman" w:hAnsi="Times New Roman" w:cs="Times New Roman"/>
          <w:sz w:val="24"/>
          <w:szCs w:val="24"/>
        </w:rPr>
        <w:fldChar w:fldCharType="end"/>
      </w:r>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2E2BDE" w:rsidRPr="00C760EA" w:rsidRDefault="002E2BDE" w:rsidP="002E2BDE">
      <w:pPr>
        <w:shd w:val="clear" w:color="auto" w:fill="FFFFFF"/>
        <w:spacing w:after="0" w:line="240" w:lineRule="auto"/>
        <w:jc w:val="both"/>
        <w:rPr>
          <w:rFonts w:ascii="Times New Roman" w:hAnsi="Times New Roman" w:cs="Times New Roman"/>
          <w:color w:val="000000"/>
          <w:sz w:val="24"/>
          <w:szCs w:val="24"/>
        </w:rPr>
      </w:pPr>
    </w:p>
    <w:p w:rsidR="002E2BDE" w:rsidRPr="00C760EA" w:rsidRDefault="00562D95" w:rsidP="002E2BDE">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40" w:history="1">
        <w:r w:rsidR="002E2BDE" w:rsidRPr="00C760EA">
          <w:rPr>
            <w:rStyle w:val="Hyperlink"/>
            <w:rFonts w:ascii="Times New Roman" w:hAnsi="Times New Roman" w:cs="Times New Roman"/>
            <w:sz w:val="24"/>
            <w:szCs w:val="24"/>
          </w:rPr>
          <w:t>https://www.rbi.org.in/Scripts/NotificationUser.aspx?Id=12108&amp;Mode=0</w:t>
        </w:r>
      </w:hyperlink>
    </w:p>
    <w:p w:rsidR="002E2BDE" w:rsidRDefault="002E2BDE"/>
    <w:p w:rsidR="002E2BDE" w:rsidRPr="00C760EA" w:rsidRDefault="002E2BDE" w:rsidP="002E2BDE">
      <w:pPr>
        <w:pStyle w:val="NormalWeb"/>
        <w:shd w:val="clear" w:color="auto" w:fill="FFFFFF"/>
        <w:spacing w:before="0" w:beforeAutospacing="0" w:after="0" w:afterAutospacing="0"/>
        <w:jc w:val="both"/>
        <w:rPr>
          <w:b/>
          <w:bCs/>
          <w:color w:val="000000"/>
        </w:rPr>
      </w:pPr>
      <w:r w:rsidRPr="00C760EA">
        <w:rPr>
          <w:b/>
          <w:bCs/>
          <w:color w:val="000000"/>
        </w:rPr>
        <w:t>Payment of margins for transactions in Government Securities by Foreign Portfolio Investors</w:t>
      </w:r>
    </w:p>
    <w:p w:rsidR="002E2BDE" w:rsidRPr="00C760EA" w:rsidRDefault="002E2BDE" w:rsidP="002E2BDE">
      <w:pPr>
        <w:pStyle w:val="NormalWeb"/>
        <w:shd w:val="clear" w:color="auto" w:fill="FFFFFF"/>
        <w:spacing w:before="0" w:beforeAutospacing="0" w:after="0" w:afterAutospacing="0"/>
        <w:jc w:val="both"/>
        <w:rPr>
          <w:b/>
          <w:bCs/>
          <w:color w:val="000000"/>
        </w:rPr>
      </w:pPr>
    </w:p>
    <w:p w:rsidR="002E2BDE" w:rsidRPr="00762028" w:rsidRDefault="002E2BDE" w:rsidP="002E2BDE">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2E2BDE" w:rsidRPr="00762028" w:rsidRDefault="002E2BDE" w:rsidP="002E2BDE">
      <w:pPr>
        <w:pStyle w:val="NormalWeb"/>
        <w:shd w:val="clear" w:color="auto" w:fill="FFFFFF"/>
        <w:spacing w:before="0" w:beforeAutospacing="0" w:after="0" w:afterAutospacing="0"/>
        <w:jc w:val="both"/>
        <w:rPr>
          <w:i/>
          <w:color w:val="000000"/>
        </w:rPr>
      </w:pPr>
      <w:r w:rsidRPr="00C760EA">
        <w:rPr>
          <w:color w:val="000000"/>
        </w:rPr>
        <w:br/>
      </w:r>
      <w:r w:rsidRPr="00762028">
        <w:rPr>
          <w:i/>
          <w:color w:val="000000"/>
        </w:rPr>
        <w:t>All Authorised Persons</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41" w:tgtFrame="_blank" w:history="1">
        <w:r w:rsidRPr="00C760EA">
          <w:rPr>
            <w:rStyle w:val="Hyperlink"/>
          </w:rPr>
          <w:t>Statement on Developmental and Regulatory Policies</w:t>
        </w:r>
      </w:hyperlink>
      <w:r w:rsidRPr="00C760EA">
        <w:rPr>
          <w:color w:val="000000"/>
        </w:rPr>
        <w:t>, issued as a part of the </w:t>
      </w:r>
      <w:hyperlink r:id="rId42"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43"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2E2BDE" w:rsidRDefault="002E2BDE" w:rsidP="002E2BDE">
      <w:pPr>
        <w:pStyle w:val="NormalWeb"/>
        <w:shd w:val="clear" w:color="auto" w:fill="FFFFFF"/>
        <w:spacing w:before="0" w:beforeAutospacing="0" w:after="0" w:afterAutospacing="0"/>
        <w:jc w:val="both"/>
        <w:rPr>
          <w:color w:val="000000"/>
        </w:rPr>
      </w:pP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44" w:tgtFrame="_blank" w:history="1">
        <w:r w:rsidRPr="00C760EA">
          <w:rPr>
            <w:rStyle w:val="Hyperlink"/>
          </w:rPr>
          <w:t>Notification No. FEMA 3(R)2/2021-RB dated May 24, 2021</w:t>
        </w:r>
      </w:hyperlink>
      <w:r w:rsidRPr="00C760EA">
        <w:rPr>
          <w:color w:val="000000"/>
        </w:rPr>
        <w:t>.</w:t>
      </w:r>
    </w:p>
    <w:p w:rsidR="002E2BDE" w:rsidRPr="00C760EA" w:rsidRDefault="002E2BDE" w:rsidP="002E2BDE">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2E2BDE" w:rsidRPr="00C760EA" w:rsidRDefault="002E2BDE" w:rsidP="002E2BDE">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2E2BDE" w:rsidRDefault="002E2BDE"/>
    <w:p w:rsidR="002E2BDE" w:rsidRDefault="002E2BDE"/>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Investment by Foreign Portfolio Investors (FPI) in Government Securities: Medium Term Framework (MTF)</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Attention of Authorised Dealer Category-I (AD Category-I) banks is invited to Schedule 1 to the Foreign Exchange Management (Debt Instruments) Regulations, 2019 notified, vide </w:t>
      </w:r>
      <w:hyperlink r:id="rId45" w:tgtFrame="_blank" w:history="1">
        <w:r w:rsidRPr="00F74A17">
          <w:rPr>
            <w:rStyle w:val="Hyperlink"/>
            <w:sz w:val="22"/>
            <w:szCs w:val="20"/>
          </w:rPr>
          <w:t>Notification No. FEMA. 396/2019-RB dated October 17, 2019</w:t>
        </w:r>
      </w:hyperlink>
      <w:r w:rsidRPr="00F74A17">
        <w:rPr>
          <w:color w:val="000000"/>
          <w:sz w:val="22"/>
          <w:szCs w:val="20"/>
        </w:rPr>
        <w:t>, as amended from time to time and the relevant directions issued thereunder.</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2. A reference is also invited to the following directions issued by the Reserve Bank:</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a) </w:t>
      </w:r>
      <w:hyperlink r:id="rId46"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lastRenderedPageBreak/>
        <w:t>b) </w:t>
      </w:r>
      <w:hyperlink r:id="rId47" w:tgtFrame="_blank" w:history="1">
        <w:r w:rsidRPr="00F74A17">
          <w:rPr>
            <w:rStyle w:val="Hyperlink"/>
            <w:sz w:val="22"/>
            <w:szCs w:val="20"/>
          </w:rPr>
          <w:t>Circular No. FMRD.FMSD.No.25/14.01.006/2019-20 dated March 30, 2020</w:t>
        </w:r>
      </w:hyperlink>
      <w:r w:rsidRPr="00F74A17">
        <w:rPr>
          <w:color w:val="000000"/>
          <w:sz w:val="22"/>
          <w:szCs w:val="20"/>
        </w:rPr>
        <w:t>;</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c) </w:t>
      </w:r>
      <w:hyperlink r:id="rId48" w:tgtFrame="_blank" w:history="1">
        <w:r w:rsidRPr="00F74A17">
          <w:rPr>
            <w:rStyle w:val="Hyperlink"/>
            <w:sz w:val="22"/>
            <w:szCs w:val="20"/>
          </w:rPr>
          <w:t>A.P. (DIR Series) Circular No. 30 dated April 15, 2020</w:t>
        </w:r>
      </w:hyperlink>
      <w:r w:rsidRPr="00F74A17">
        <w:rPr>
          <w:color w:val="000000"/>
          <w:sz w:val="22"/>
          <w:szCs w:val="20"/>
        </w:rPr>
        <w:t>; and</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d) </w:t>
      </w:r>
      <w:hyperlink r:id="rId49" w:tgtFrame="_blank" w:history="1">
        <w:r w:rsidRPr="00F74A17">
          <w:rPr>
            <w:rStyle w:val="Hyperlink"/>
            <w:sz w:val="22"/>
            <w:szCs w:val="20"/>
          </w:rPr>
          <w:t>A.P. (DIR Series) Circular No. 14 dated March 31, 2021</w:t>
        </w:r>
      </w:hyperlink>
      <w:r w:rsidRPr="00F74A17">
        <w:rPr>
          <w:color w:val="000000"/>
          <w:sz w:val="22"/>
          <w:szCs w:val="20"/>
        </w:rPr>
        <w:t>.</w:t>
      </w:r>
    </w:p>
    <w:p w:rsidR="002E2BDE" w:rsidRPr="00F74A17" w:rsidRDefault="002E2BDE" w:rsidP="002E2BDE">
      <w:pPr>
        <w:pStyle w:val="head"/>
        <w:shd w:val="clear" w:color="auto" w:fill="FFFFFF"/>
        <w:jc w:val="both"/>
        <w:rPr>
          <w:b/>
          <w:bCs/>
          <w:color w:val="000000"/>
          <w:sz w:val="22"/>
          <w:szCs w:val="20"/>
        </w:rPr>
      </w:pPr>
      <w:r w:rsidRPr="00F74A17">
        <w:rPr>
          <w:b/>
          <w:bCs/>
          <w:color w:val="000000"/>
          <w:sz w:val="22"/>
          <w:szCs w:val="20"/>
        </w:rPr>
        <w:t>3. Investment Limits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limits for FPI investment in Government securities (G-secs) and State Development Loans (SDLs) shall remain unchanged at 6% and 2% respectively, of outstanding stocks of securities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As hitherto, all investments by eligible investors in the ‘specified securities’ shall be reckoned under the Fully Accessible Route (FAR) in terms of </w:t>
      </w:r>
      <w:hyperlink r:id="rId50" w:tgtFrame="_blank" w:history="1">
        <w:r w:rsidRPr="00F74A17">
          <w:rPr>
            <w:rStyle w:val="Hyperlink"/>
            <w:sz w:val="22"/>
            <w:szCs w:val="20"/>
          </w:rPr>
          <w:t>A.P. (DIR Series) Circular No. 25 dated March 30, 2020</w:t>
        </w:r>
      </w:hyperlink>
      <w:r w:rsidRPr="00F74A17">
        <w:rPr>
          <w:color w:val="000000"/>
          <w:sz w:val="22"/>
          <w:szCs w:val="20"/>
        </w:rPr>
        <w:t>.</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allocation of incremental changes in the G-sec limit (in absolute terms) over the two sub-categories – ‘General’ and ‘Long-term’ – shall be retained at 50:50 for FY 2021-22.</w:t>
      </w:r>
    </w:p>
    <w:p w:rsidR="002E2BDE" w:rsidRPr="00F74A17" w:rsidRDefault="002E2BDE" w:rsidP="002E2BDE">
      <w:pPr>
        <w:pStyle w:val="NormalWeb"/>
        <w:numPr>
          <w:ilvl w:val="0"/>
          <w:numId w:val="10"/>
        </w:numPr>
        <w:shd w:val="clear" w:color="auto" w:fill="FFFFFF"/>
        <w:ind w:left="0"/>
        <w:jc w:val="both"/>
        <w:rPr>
          <w:color w:val="000000"/>
          <w:sz w:val="22"/>
          <w:szCs w:val="20"/>
        </w:rPr>
      </w:pPr>
      <w:r w:rsidRPr="00F74A17">
        <w:rPr>
          <w:color w:val="000000"/>
          <w:sz w:val="22"/>
          <w:szCs w:val="20"/>
        </w:rPr>
        <w:t>The entire increase in limits for SDLs (in absolute terms) has been added to the ‘General’ sub-category of SDLs.</w:t>
      </w:r>
    </w:p>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4. Accordingly, the revised limits (in absolute terms) for the different categories, including the limits for corporate bonds announced, vide </w:t>
      </w:r>
      <w:hyperlink r:id="rId51" w:tgtFrame="_blank" w:history="1">
        <w:r w:rsidRPr="00F74A17">
          <w:rPr>
            <w:rStyle w:val="Hyperlink"/>
            <w:sz w:val="22"/>
            <w:szCs w:val="20"/>
          </w:rPr>
          <w:t>A.P. (DIR Series) Circular No. 14 dated March 31, 2021</w:t>
        </w:r>
      </w:hyperlink>
      <w:r w:rsidRPr="00F74A17">
        <w:rPr>
          <w:color w:val="000000"/>
          <w:sz w:val="22"/>
          <w:szCs w:val="20"/>
        </w:rPr>
        <w:t>, shall be as under (Table 1):</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338"/>
        <w:gridCol w:w="860"/>
        <w:gridCol w:w="860"/>
        <w:gridCol w:w="848"/>
        <w:gridCol w:w="616"/>
        <w:gridCol w:w="1068"/>
        <w:gridCol w:w="970"/>
      </w:tblGrid>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Table - 1: Investment limits for FY 2021-22</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all figures in ₹ Crore</w:t>
            </w:r>
          </w:p>
        </w:tc>
      </w:tr>
      <w:tr w:rsidR="002E2BDE" w:rsidRPr="00F74A17" w:rsidTr="002E2BDE">
        <w:trPr>
          <w:jc w:val="center"/>
        </w:trPr>
        <w:tc>
          <w:tcPr>
            <w:tcW w:w="2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 </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General</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G-Sec Long Term</w:t>
            </w:r>
          </w:p>
        </w:tc>
        <w:tc>
          <w:tcPr>
            <w:tcW w:w="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General</w:t>
            </w:r>
          </w:p>
        </w:tc>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SDL Long Term</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Corporate Bonds</w:t>
            </w:r>
          </w:p>
        </w:tc>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center"/>
              <w:rPr>
                <w:rFonts w:ascii="Times New Roman" w:hAnsi="Times New Roman" w:cs="Times New Roman"/>
                <w:b/>
                <w:bCs/>
                <w:color w:val="000000"/>
                <w:szCs w:val="20"/>
              </w:rPr>
            </w:pPr>
            <w:r w:rsidRPr="00F74A17">
              <w:rPr>
                <w:rFonts w:ascii="Times New Roman" w:hAnsi="Times New Roman" w:cs="Times New Roman"/>
                <w:b/>
                <w:bCs/>
                <w:color w:val="000000"/>
                <w:szCs w:val="20"/>
              </w:rPr>
              <w:t>Total Debt</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Current FPI limits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2,34,531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1,03,531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67,630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5,41,488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9,54,280</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Apr 2021-Sept 2021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2,43,914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1,12,914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76,766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5,74,263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10,14,957</w:t>
            </w:r>
          </w:p>
        </w:tc>
      </w:tr>
      <w:tr w:rsidR="002E2BDE" w:rsidRPr="00F74A17" w:rsidTr="002E2BDE">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rPr>
                <w:rFonts w:ascii="Times New Roman" w:hAnsi="Times New Roman" w:cs="Times New Roman"/>
                <w:color w:val="000000"/>
                <w:szCs w:val="20"/>
              </w:rPr>
            </w:pPr>
            <w:r w:rsidRPr="00F74A17">
              <w:rPr>
                <w:rFonts w:ascii="Times New Roman" w:hAnsi="Times New Roman" w:cs="Times New Roman"/>
                <w:color w:val="000000"/>
                <w:szCs w:val="20"/>
              </w:rPr>
              <w:t>Revised limit for the HY Oct 2021-Mar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2,53,298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1,22,298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85,902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7,100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6,07,039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right"/>
              <w:rPr>
                <w:rFonts w:ascii="Times New Roman" w:hAnsi="Times New Roman" w:cs="Times New Roman"/>
                <w:color w:val="000000"/>
                <w:szCs w:val="20"/>
              </w:rPr>
            </w:pPr>
            <w:r w:rsidRPr="00F74A17">
              <w:rPr>
                <w:rFonts w:ascii="Times New Roman" w:hAnsi="Times New Roman" w:cs="Times New Roman"/>
                <w:color w:val="000000"/>
                <w:szCs w:val="20"/>
              </w:rPr>
              <w:t>10,75,637</w:t>
            </w:r>
          </w:p>
        </w:tc>
      </w:tr>
      <w:tr w:rsidR="002E2BDE" w:rsidRPr="00F74A17" w:rsidTr="002E2BDE">
        <w:trPr>
          <w:jc w:val="center"/>
        </w:trPr>
        <w:tc>
          <w:tcPr>
            <w:tcW w:w="0" w:type="auto"/>
            <w:gridSpan w:val="7"/>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2E2BDE" w:rsidRPr="00F74A17" w:rsidRDefault="002E2BDE">
            <w:pPr>
              <w:jc w:val="both"/>
              <w:rPr>
                <w:rFonts w:ascii="Times New Roman" w:hAnsi="Times New Roman" w:cs="Times New Roman"/>
                <w:color w:val="000000"/>
                <w:szCs w:val="20"/>
              </w:rPr>
            </w:pPr>
            <w:r w:rsidRPr="00F74A17">
              <w:rPr>
                <w:rFonts w:ascii="Times New Roman" w:hAnsi="Times New Roman" w:cs="Times New Roman"/>
                <w:color w:val="000000"/>
                <w:szCs w:val="20"/>
              </w:rPr>
              <w:t>^ as on March 31, 2021</w:t>
            </w:r>
          </w:p>
        </w:tc>
      </w:tr>
    </w:tbl>
    <w:p w:rsidR="002E2BDE" w:rsidRPr="00F74A17" w:rsidRDefault="002E2BDE" w:rsidP="002E2BDE">
      <w:pPr>
        <w:pStyle w:val="NormalWeb"/>
        <w:shd w:val="clear" w:color="auto" w:fill="FFFFFF"/>
        <w:jc w:val="both"/>
        <w:rPr>
          <w:color w:val="000000"/>
          <w:sz w:val="22"/>
          <w:szCs w:val="20"/>
        </w:rPr>
      </w:pPr>
      <w:r w:rsidRPr="00F74A17">
        <w:rPr>
          <w:color w:val="000000"/>
          <w:sz w:val="22"/>
          <w:szCs w:val="20"/>
        </w:rPr>
        <w:t xml:space="preserve">5. AD Category – I </w:t>
      </w:r>
      <w:proofErr w:type="gramStart"/>
      <w:r w:rsidRPr="00F74A17">
        <w:rPr>
          <w:color w:val="000000"/>
          <w:sz w:val="22"/>
          <w:szCs w:val="20"/>
        </w:rPr>
        <w:t>banks</w:t>
      </w:r>
      <w:proofErr w:type="gramEnd"/>
      <w:r w:rsidRPr="00F74A17">
        <w:rPr>
          <w:color w:val="000000"/>
          <w:sz w:val="22"/>
          <w:szCs w:val="20"/>
        </w:rPr>
        <w:t xml:space="preserve"> may bring the contents of this circular to the notice of their constituents and customers concerned.</w:t>
      </w:r>
    </w:p>
    <w:p w:rsidR="002E2BDE" w:rsidRDefault="002E2BDE" w:rsidP="002E2BDE">
      <w:pPr>
        <w:pStyle w:val="NormalWeb"/>
        <w:shd w:val="clear" w:color="auto" w:fill="FFFFFF"/>
        <w:jc w:val="both"/>
        <w:rPr>
          <w:color w:val="000000"/>
          <w:sz w:val="22"/>
          <w:szCs w:val="20"/>
        </w:rPr>
      </w:pPr>
      <w:r w:rsidRPr="00F74A17">
        <w:rPr>
          <w:color w:val="000000"/>
          <w:sz w:val="22"/>
          <w:szCs w:val="20"/>
        </w:rPr>
        <w:t>6. The directions contained in this circular have been issued under sections 10(4) and 11(1) of the Foreign Exchange Management Act, 1999 (42 of 1999) and are without prejudice to permissions/approval,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Sponsor Contribution to an AIF set up in Overseas Jurisdiction, including IFSCs</w:t>
      </w:r>
    </w:p>
    <w:p w:rsidR="00F74A17"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proofErr w:type="gramStart"/>
      <w:r w:rsidRPr="00BE0E8C">
        <w:rPr>
          <w:b/>
          <w:color w:val="000000"/>
        </w:rPr>
        <w:t>A.P.(</w:t>
      </w:r>
      <w:proofErr w:type="gramEnd"/>
      <w:r w:rsidRPr="00BE0E8C">
        <w:rPr>
          <w:b/>
          <w:color w:val="000000"/>
        </w:rPr>
        <w:t>DIR Series) Circular No. 04</w:t>
      </w:r>
      <w:r>
        <w:rPr>
          <w:b/>
          <w:color w:val="000000"/>
        </w:rPr>
        <w:t xml:space="preserve"> </w:t>
      </w:r>
      <w:r>
        <w:rPr>
          <w:b/>
          <w:color w:val="000000"/>
        </w:rPr>
        <w:tab/>
      </w:r>
      <w:r>
        <w:rPr>
          <w:b/>
          <w:color w:val="000000"/>
        </w:rPr>
        <w:tab/>
      </w:r>
      <w:r w:rsidRPr="00BE0E8C">
        <w:rPr>
          <w:b/>
          <w:color w:val="000000"/>
        </w:rPr>
        <w:t>May 12, 2021</w:t>
      </w:r>
    </w:p>
    <w:p w:rsidR="00F74A17"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spacing w:before="0" w:beforeAutospacing="0" w:after="0" w:afterAutospacing="0"/>
        <w:jc w:val="both"/>
        <w:rPr>
          <w:i/>
          <w:color w:val="000000"/>
        </w:rPr>
      </w:pPr>
      <w:r w:rsidRPr="00BE0E8C">
        <w:rPr>
          <w:i/>
          <w:color w:val="000000"/>
        </w:rPr>
        <w:t>All Category-I Authorised Dealer Banks</w:t>
      </w:r>
    </w:p>
    <w:p w:rsidR="00F74A17" w:rsidRPr="00BE0E8C" w:rsidRDefault="00F74A17" w:rsidP="00F74A17">
      <w:pPr>
        <w:pStyle w:val="NormalWeb"/>
        <w:shd w:val="clear" w:color="auto" w:fill="FFFFFF"/>
        <w:spacing w:before="0" w:beforeAutospacing="0" w:after="0" w:afterAutospacing="0"/>
        <w:jc w:val="both"/>
        <w:rPr>
          <w:i/>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52" w:tgtFrame="_blank" w:history="1">
        <w:r w:rsidRPr="00BE0E8C">
          <w:rPr>
            <w:rStyle w:val="Hyperlink"/>
          </w:rPr>
          <w:t>Master Direction No.15 dated January 1, 2016</w:t>
        </w:r>
      </w:hyperlink>
      <w:r w:rsidRPr="00BE0E8C">
        <w:rPr>
          <w:color w:val="000000"/>
        </w:rPr>
        <w:t>, on “Direct Investment by Residents in Joint Venture (JV) / Wholly Owned Subsidiary (WOS) Abroad”, as amended from time to time and Regulation 7 of the </w:t>
      </w:r>
      <w:hyperlink r:id="rId53"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It has been decided that any sponsor contribution from a sponsor IP to an Alternative Investment Fund (AIF) set up in an overseas jurisdiction, including International Financial Services Centres (IFSCs) in India, as per the laws of the host jurisdiction, will be treated as Overseas Direct Investment (ODI). Accordingly, IP, as defined in regulation 2(k) of the Notification ibid. can set up AIF in overseas jurisdictions, including IFSCs, under the automatic route provided it complies with Regulation 7 of the </w:t>
      </w:r>
      <w:hyperlink r:id="rId54" w:tgtFrame="_blank" w:history="1">
        <w:r w:rsidRPr="00BE0E8C">
          <w:rPr>
            <w:rStyle w:val="Hyperlink"/>
          </w:rPr>
          <w:t>Notification FEMA 120/2004-RB</w:t>
        </w:r>
      </w:hyperlink>
      <w:r w:rsidRPr="00BE0E8C">
        <w:rPr>
          <w:color w:val="000000"/>
        </w:rPr>
        <w:t>.</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All the other provisions under the Notification ibid. shall remain unchanged.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w:t>
      </w:r>
      <w:hyperlink r:id="rId55" w:tgtFrame="_blank" w:history="1">
        <w:r w:rsidRPr="00BE0E8C">
          <w:rPr>
            <w:rStyle w:val="Hyperlink"/>
          </w:rPr>
          <w:t>Master Direction No. 15 dated January 01, 2016</w:t>
        </w:r>
      </w:hyperlink>
      <w:r w:rsidRPr="00BE0E8C">
        <w:rPr>
          <w:color w:val="000000"/>
        </w:rPr>
        <w:t>, is being updated to reflect the changes.</w:t>
      </w: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p>
    <w:p w:rsidR="00F74A17"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Utilisation of Floating Provisions/Counter Cyclical Provisioning Buffer</w:t>
      </w:r>
    </w:p>
    <w:p w:rsidR="00F74A17" w:rsidRPr="00BE0E8C" w:rsidRDefault="00F74A17" w:rsidP="00F74A17">
      <w:pPr>
        <w:pStyle w:val="NormalWeb"/>
        <w:shd w:val="clear" w:color="auto" w:fill="FFFFFF"/>
        <w:spacing w:before="0" w:beforeAutospacing="0" w:after="0" w:afterAutospacing="0"/>
        <w:jc w:val="both"/>
        <w:rPr>
          <w:b/>
          <w:bCs/>
          <w:color w:val="000000"/>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596A95">
        <w:rPr>
          <w:rFonts w:ascii="Times New Roman" w:eastAsia="Times New Roman" w:hAnsi="Times New Roman" w:cs="Times New Roman"/>
          <w:b/>
          <w:color w:val="000000"/>
          <w:sz w:val="24"/>
          <w:szCs w:val="24"/>
          <w:lang w:eastAsia="en-IN"/>
        </w:rPr>
        <w:t>RBI/2021-22/28</w:t>
      </w:r>
      <w:r w:rsidRPr="00BE0E8C">
        <w:rPr>
          <w:rFonts w:ascii="Times New Roman" w:eastAsia="Times New Roman" w:hAnsi="Times New Roman" w:cs="Times New Roman"/>
          <w:b/>
          <w:color w:val="000000"/>
          <w:sz w:val="24"/>
          <w:szCs w:val="24"/>
          <w:lang w:eastAsia="en-IN"/>
        </w:rPr>
        <w:t xml:space="preserve"> </w:t>
      </w:r>
      <w:r w:rsidRPr="00596A95">
        <w:rPr>
          <w:rFonts w:ascii="Times New Roman" w:eastAsia="Times New Roman" w:hAnsi="Times New Roman" w:cs="Times New Roman"/>
          <w:b/>
          <w:color w:val="000000"/>
          <w:sz w:val="24"/>
          <w:szCs w:val="24"/>
          <w:lang w:eastAsia="en-IN"/>
        </w:rPr>
        <w:t>DOR.STR.REC.10/21.04.048/2021-22</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596A95">
        <w:rPr>
          <w:rFonts w:ascii="Times New Roman" w:eastAsia="Times New Roman" w:hAnsi="Times New Roman" w:cs="Times New Roman"/>
          <w:b/>
          <w:color w:val="000000"/>
          <w:sz w:val="24"/>
          <w:szCs w:val="24"/>
          <w:lang w:eastAsia="en-IN"/>
        </w:rPr>
        <w:t>May 5, 2021</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 and Payments Banks)</w:t>
      </w:r>
    </w:p>
    <w:p w:rsidR="00F74A17" w:rsidRPr="00BE0E8C" w:rsidRDefault="00F74A17" w:rsidP="00F74A17">
      <w:pPr>
        <w:spacing w:after="0" w:line="240" w:lineRule="auto"/>
        <w:jc w:val="both"/>
        <w:rPr>
          <w:rFonts w:ascii="Times New Roman" w:hAnsi="Times New Roman" w:cs="Times New Roman"/>
          <w:i/>
          <w:color w:val="000000"/>
          <w:sz w:val="24"/>
          <w:szCs w:val="24"/>
          <w:u w:val="single"/>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56" w:tgtFrame="_blank" w:history="1">
        <w:r w:rsidRPr="00BE0E8C">
          <w:rPr>
            <w:rStyle w:val="Hyperlink"/>
          </w:rPr>
          <w:t>circular DBOD.No.BP.BC.89/21.04.048/2005-06 dated June 22, 2006</w:t>
        </w:r>
      </w:hyperlink>
      <w:r w:rsidRPr="00BE0E8C">
        <w:rPr>
          <w:color w:val="000000"/>
        </w:rPr>
        <w:t> and </w:t>
      </w:r>
      <w:hyperlink r:id="rId57" w:tgtFrame="_blank" w:history="1">
        <w:r w:rsidRPr="00BE0E8C">
          <w:rPr>
            <w:rStyle w:val="Hyperlink"/>
          </w:rPr>
          <w:t>DBOD.No.BP.BC.68/21.04.048/2006-07 dated March 13, 2007</w:t>
        </w:r>
      </w:hyperlink>
      <w:r w:rsidRPr="00BE0E8C">
        <w:rPr>
          <w:color w:val="000000"/>
        </w:rPr>
        <w:t> on creation, accounting, disclosures and utilisation of floating provisions by banks. Banks may also refer to our </w:t>
      </w:r>
      <w:hyperlink r:id="rId58" w:tgtFrame="_blank" w:history="1">
        <w:r w:rsidRPr="00BE0E8C">
          <w:rPr>
            <w:rStyle w:val="Hyperlink"/>
          </w:rPr>
          <w:t>circular DBOD.No.BP.BC.87/21.04.048/2010-11 dated April 21, 2011</w:t>
        </w:r>
      </w:hyperlink>
      <w:r w:rsidRPr="00BE0E8C">
        <w:rPr>
          <w:color w:val="000000"/>
        </w:rPr>
        <w:t> on creation and utilisation of ‘countercyclical provisioning buffer’, wherein we had advised that the buffer will be allowed to be used by banks for making specific provisions for non-performing assets, inter alia, during periods of system wide downturn, with the prior approval of RBI.</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Accordingly, in terms of our circulars </w:t>
      </w:r>
      <w:hyperlink r:id="rId59" w:tgtFrame="_blank" w:history="1">
        <w:r w:rsidRPr="00BE0E8C">
          <w:rPr>
            <w:rStyle w:val="Hyperlink"/>
          </w:rPr>
          <w:t>DBOD.No.BP.95/21.04.048/2013-14 dated February 7, 2014</w:t>
        </w:r>
      </w:hyperlink>
      <w:r w:rsidRPr="00BE0E8C">
        <w:rPr>
          <w:color w:val="000000"/>
        </w:rPr>
        <w:t> and </w:t>
      </w:r>
      <w:hyperlink r:id="rId60" w:tgtFrame="_blank" w:history="1">
        <w:r w:rsidRPr="00BE0E8C">
          <w:rPr>
            <w:rStyle w:val="Hyperlink"/>
          </w:rPr>
          <w:t>DBR.No.BP.BC.79/21.04.048/2014-15 dated March 30, 2015</w:t>
        </w:r>
      </w:hyperlink>
      <w:r w:rsidRPr="00BE0E8C">
        <w:rPr>
          <w:color w:val="000000"/>
        </w:rPr>
        <w:t xml:space="preserve">, banks were allowed to utilise </w:t>
      </w:r>
      <w:proofErr w:type="spellStart"/>
      <w:r w:rsidRPr="00BE0E8C">
        <w:rPr>
          <w:color w:val="000000"/>
        </w:rPr>
        <w:t>upto</w:t>
      </w:r>
      <w:proofErr w:type="spellEnd"/>
      <w:r w:rsidRPr="00BE0E8C">
        <w:rPr>
          <w:color w:val="000000"/>
        </w:rPr>
        <w:t xml:space="preserve"> 33 per cent and 50 per cent of floating provisions/ countercyclical provisioning buffer held by them as on March 31, 2013 and December 31, 2014 respectively, for making specific provisions for non-performing assets, as per their Board approved policy.</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3. In order to mitigate the adverse impact of COVID 19 related stress on banks, as a measure to enable capital conservation, it has been decided to allow banks to utilise 100 per cent of floating provisions/ countercyclical provisioning buffer held by them as on December 31, 2020 </w:t>
      </w:r>
      <w:r w:rsidRPr="00BE0E8C">
        <w:rPr>
          <w:color w:val="000000"/>
        </w:rPr>
        <w:lastRenderedPageBreak/>
        <w:t xml:space="preserve">for making specific provisions for non-performing assets with prior approval of their Boards. Such utilisation is permitted with immediate effect and </w:t>
      </w:r>
      <w:proofErr w:type="spellStart"/>
      <w:r w:rsidRPr="00BE0E8C">
        <w:rPr>
          <w:color w:val="000000"/>
        </w:rPr>
        <w:t>upto</w:t>
      </w:r>
      <w:proofErr w:type="spellEnd"/>
      <w:r w:rsidRPr="00BE0E8C">
        <w:rPr>
          <w:color w:val="000000"/>
        </w:rPr>
        <w:t xml:space="preserve"> March 31, 2022.</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p>
    <w:p w:rsidR="00F74A17" w:rsidRPr="00BE0E8C" w:rsidRDefault="00F74A17" w:rsidP="00F74A17">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F74A17" w:rsidRDefault="00F74A17" w:rsidP="00F74A17">
      <w:pPr>
        <w:pStyle w:val="NormalWeb"/>
        <w:pBdr>
          <w:bottom w:val="single" w:sz="12" w:space="1" w:color="auto"/>
        </w:pBdr>
        <w:shd w:val="clear" w:color="auto" w:fill="FFFFFF"/>
        <w:spacing w:before="0" w:beforeAutospacing="0" w:after="0" w:afterAutospacing="0"/>
        <w:jc w:val="both"/>
      </w:pPr>
    </w:p>
    <w:p w:rsidR="00F74A17" w:rsidRPr="00BE0E8C" w:rsidRDefault="00562D95" w:rsidP="00F74A17">
      <w:pPr>
        <w:pStyle w:val="NormalWeb"/>
        <w:pBdr>
          <w:bottom w:val="single" w:sz="12" w:space="1" w:color="auto"/>
        </w:pBdr>
        <w:shd w:val="clear" w:color="auto" w:fill="FFFFFF"/>
        <w:spacing w:before="0" w:beforeAutospacing="0" w:after="0" w:afterAutospacing="0"/>
        <w:jc w:val="both"/>
        <w:rPr>
          <w:color w:val="000000"/>
        </w:rPr>
      </w:pPr>
      <w:hyperlink r:id="rId61" w:history="1">
        <w:r w:rsidR="00F74A17" w:rsidRPr="00BE0E8C">
          <w:rPr>
            <w:rStyle w:val="Hyperlink"/>
          </w:rPr>
          <w:t>https://www.rbi.org.in/Scripts/NotificationUser.aspx?Id=12070&amp;Mode=0</w:t>
        </w:r>
      </w:hyperlink>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Investment by Foreign Portfolio Investors (FPI): Investment limits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62" w:tgtFrame="_blank" w:history="1">
        <w:r w:rsidRPr="00BE0E8C">
          <w:rPr>
            <w:rStyle w:val="Hyperlink"/>
            <w:u w:val="none"/>
          </w:rPr>
          <w:t>Notification No. FEMA.396/2019-RB dated October 17, 2019</w:t>
        </w:r>
      </w:hyperlink>
      <w:r w:rsidRPr="00BE0E8C">
        <w:rPr>
          <w:color w:val="000000"/>
        </w:rPr>
        <w:t>, as amended from time to time and the relevant Directions issued thereunder. A reference is also invited to </w:t>
      </w:r>
      <w:hyperlink r:id="rId63" w:tgtFrame="_blank" w:history="1">
        <w:r w:rsidRPr="00BE0E8C">
          <w:rPr>
            <w:rStyle w:val="Hyperlink"/>
            <w:u w:val="none"/>
          </w:rPr>
          <w:t>A.P. (DIR Series) Circular No. 30 dated April 15, 2020</w:t>
        </w:r>
      </w:hyperlink>
      <w:r w:rsidRPr="00BE0E8C">
        <w:rPr>
          <w:color w:val="000000"/>
        </w:rPr>
        <w:t> on the captioned subject.</w:t>
      </w:r>
    </w:p>
    <w:p w:rsidR="00F74A17" w:rsidRPr="00BE0E8C" w:rsidRDefault="00F74A17" w:rsidP="00F74A17">
      <w:pPr>
        <w:pStyle w:val="head"/>
        <w:shd w:val="clear" w:color="auto" w:fill="FFFFFF"/>
        <w:spacing w:before="0" w:beforeAutospacing="0" w:after="0" w:afterAutospacing="0"/>
        <w:jc w:val="both"/>
        <w:rPr>
          <w:b/>
          <w:bCs/>
          <w:color w:val="000000"/>
        </w:rPr>
      </w:pPr>
    </w:p>
    <w:p w:rsidR="00F74A17" w:rsidRPr="00BE0E8C" w:rsidRDefault="00F74A17" w:rsidP="00F74A17">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a. The limits for FPI investment in Corporate bonds shall remain unchanged at 15% of outstanding stock of securities for FY 2021-22. Accordingly, the revised limits for FPI investment in corporate bonds, after rounding off, shall be as under (</w:t>
      </w:r>
      <w:hyperlink r:id="rId64" w:anchor="TA1" w:history="1">
        <w:r w:rsidRPr="00BE0E8C">
          <w:rPr>
            <w:rStyle w:val="Hyperlink"/>
            <w:u w:val="none"/>
          </w:rPr>
          <w:t>Table - 1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2264"/>
      </w:tblGrid>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F74A17" w:rsidRPr="00BE0E8C" w:rsidTr="00C20495">
        <w:trPr>
          <w:trHeight w:val="384"/>
          <w:jc w:val="center"/>
        </w:trPr>
        <w:tc>
          <w:tcPr>
            <w:tcW w:w="0" w:type="auto"/>
            <w:gridSpan w:val="2"/>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399"/>
          <w:jc w:val="center"/>
        </w:trPr>
        <w:tc>
          <w:tcPr>
            <w:tcW w:w="3650" w:type="pct"/>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F74A17" w:rsidRPr="00BE0E8C" w:rsidTr="00C20495">
        <w:trPr>
          <w:trHeight w:val="384"/>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b. The revised limits for FPI investment in Central Government securities (G-secs) and State Development Loans (SDLs) for FY 2021-22 will be advised separately. Till such announcement, the current limits (as in </w:t>
      </w:r>
      <w:hyperlink r:id="rId65" w:anchor="TA2" w:history="1">
        <w:r w:rsidRPr="00BE0E8C">
          <w:rPr>
            <w:rStyle w:val="Hyperlink"/>
            <w:u w:val="none"/>
          </w:rPr>
          <w:t>Table - 2</w:t>
        </w:r>
      </w:hyperlink>
      <w:r w:rsidRPr="00BE0E8C">
        <w:rPr>
          <w:color w:val="000000"/>
        </w:rPr>
        <w:t>), shall continue to be applicable.</w:t>
      </w:r>
    </w:p>
    <w:p w:rsidR="00F74A17" w:rsidRPr="00BE0E8C" w:rsidRDefault="00F74A17" w:rsidP="00F74A17">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1338"/>
        <w:gridCol w:w="1338"/>
        <w:gridCol w:w="1338"/>
        <w:gridCol w:w="1338"/>
      </w:tblGrid>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F74A17" w:rsidRPr="00BE0E8C" w:rsidTr="00C20495">
        <w:trPr>
          <w:trHeight w:val="338"/>
          <w:jc w:val="center"/>
        </w:trPr>
        <w:tc>
          <w:tcPr>
            <w:tcW w:w="0" w:type="auto"/>
            <w:gridSpan w:val="5"/>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F74A17" w:rsidRPr="00BE0E8C" w:rsidTr="00C20495">
        <w:trPr>
          <w:trHeight w:val="764"/>
          <w:jc w:val="center"/>
        </w:trPr>
        <w:tc>
          <w:tcPr>
            <w:tcW w:w="1801"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F74A17" w:rsidRPr="00BE0E8C" w:rsidRDefault="00F74A1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F74A17" w:rsidRPr="00BE0E8C" w:rsidTr="00C20495">
        <w:trPr>
          <w:trHeight w:val="338"/>
          <w:jc w:val="center"/>
        </w:trPr>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F74A17" w:rsidRPr="00BE0E8C" w:rsidRDefault="00F74A17" w:rsidP="00C2049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3. AD Category – I </w:t>
      </w:r>
      <w:proofErr w:type="gramStart"/>
      <w:r w:rsidRPr="00BE0E8C">
        <w:rPr>
          <w:color w:val="000000"/>
        </w:rPr>
        <w:t>banks</w:t>
      </w:r>
      <w:proofErr w:type="gramEnd"/>
      <w:r w:rsidRPr="00BE0E8C">
        <w:rPr>
          <w:color w:val="000000"/>
        </w:rPr>
        <w:t xml:space="preserve"> may bring the contents of this circular to the notice of their constituents and customers concerned.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Bilateral Netting of Qualified Financial Contracts- Amendments to Prudential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a) </w:t>
      </w:r>
      <w:hyperlink r:id="rId66" w:tgtFrame="_blank" w:history="1">
        <w:r w:rsidRPr="00BE0E8C">
          <w:rPr>
            <w:rStyle w:val="Hyperlink"/>
            <w:u w:val="none"/>
          </w:rPr>
          <w:t>Master Circular DBR.No.BP.BC.1/21.06.201/2015-16 dated July 1, 2015</w:t>
        </w:r>
      </w:hyperlink>
      <w:r w:rsidRPr="00BE0E8C">
        <w:rPr>
          <w:color w:val="000000"/>
        </w:rPr>
        <w:t> on ‘Basel III Capital Regulations’ as provided in </w:t>
      </w:r>
      <w:hyperlink r:id="rId67" w:tgtFrame="_blank" w:history="1">
        <w:r w:rsidRPr="00BE0E8C">
          <w:rPr>
            <w:rStyle w:val="Hyperlink"/>
            <w:u w:val="none"/>
          </w:rPr>
          <w:t>Annex 1</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lastRenderedPageBreak/>
        <w:t>b) </w:t>
      </w:r>
      <w:hyperlink r:id="rId68"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 – Final Guidelines’ as provided in </w:t>
      </w:r>
      <w:hyperlink r:id="rId69" w:tgtFrame="_blank" w:history="1">
        <w:r w:rsidRPr="00BE0E8C">
          <w:rPr>
            <w:rStyle w:val="Hyperlink"/>
            <w:u w:val="none"/>
          </w:rPr>
          <w:t>Annex 2</w:t>
        </w:r>
      </w:hyperlink>
      <w:r w:rsidRPr="00BE0E8C">
        <w:rPr>
          <w:color w:val="000000"/>
        </w:rPr>
        <w:t>;</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c) </w:t>
      </w:r>
      <w:hyperlink r:id="rId70" w:tgtFrame="_blank" w:history="1">
        <w:r w:rsidRPr="00BE0E8C">
          <w:rPr>
            <w:rStyle w:val="Hyperlink"/>
            <w:u w:val="none"/>
          </w:rPr>
          <w:t>Master Circular DBR.No.BP.BC.2/21.04.048/2015-16 dated July 1, 2015</w:t>
        </w:r>
      </w:hyperlink>
      <w:r w:rsidRPr="00BE0E8C">
        <w:rPr>
          <w:color w:val="000000"/>
        </w:rPr>
        <w:t> on ‘Prudential norms on Income Recognition, Asset Classification and Provisioning pertaining to Advances’ as provided in </w:t>
      </w:r>
      <w:hyperlink r:id="rId71" w:tgtFrame="_blank" w:history="1">
        <w:r w:rsidRPr="00BE0E8C">
          <w:rPr>
            <w:rStyle w:val="Hyperlink"/>
            <w:u w:val="none"/>
          </w:rPr>
          <w:t>Annex 3</w:t>
        </w:r>
      </w:hyperlink>
      <w:r w:rsidRPr="00BE0E8C">
        <w:rPr>
          <w:color w:val="000000"/>
        </w:rPr>
        <w:t>; and</w:t>
      </w:r>
    </w:p>
    <w:p w:rsidR="00F74A17" w:rsidRPr="00BE0E8C" w:rsidRDefault="00F74A17" w:rsidP="00F74A17">
      <w:pPr>
        <w:pStyle w:val="NormalWeb"/>
        <w:shd w:val="clear" w:color="auto" w:fill="FFFFFF"/>
        <w:spacing w:before="0" w:beforeAutospacing="0" w:after="0" w:afterAutospacing="0"/>
        <w:ind w:left="720"/>
        <w:jc w:val="both"/>
        <w:rPr>
          <w:color w:val="000000"/>
        </w:rPr>
      </w:pPr>
      <w:r w:rsidRPr="00BE0E8C">
        <w:rPr>
          <w:color w:val="000000"/>
        </w:rPr>
        <w:t>d) </w:t>
      </w:r>
      <w:hyperlink r:id="rId72" w:tgtFrame="_blank" w:history="1">
        <w:r w:rsidRPr="00BE0E8C">
          <w:rPr>
            <w:rStyle w:val="Hyperlink"/>
            <w:u w:val="none"/>
          </w:rPr>
          <w:t>Master Circular DBR.No.BP.BC.4./21.06.001/2015-16 dated July 1, 2015</w:t>
        </w:r>
      </w:hyperlink>
      <w:r w:rsidRPr="00BE0E8C">
        <w:rPr>
          <w:color w:val="000000"/>
        </w:rPr>
        <w:t> on Prudential Guidelines on Capital Adequacy and Market Discipline-New Capital Adequacy Framework (NCAF) as provided in </w:t>
      </w:r>
      <w:hyperlink r:id="rId73" w:tgtFrame="_blank" w:history="1">
        <w:r w:rsidRPr="00BE0E8C">
          <w:rPr>
            <w:rStyle w:val="Hyperlink"/>
            <w:u w:val="none"/>
          </w:rPr>
          <w:t>Annex 4</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FETERS – Cards: Monthly Reporting</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74" w:tgtFrame="_blank" w:history="1">
        <w:r w:rsidRPr="00BE0E8C">
          <w:rPr>
            <w:rStyle w:val="Hyperlink"/>
            <w:u w:val="none"/>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75" w:tgtFrame="_blank" w:history="1">
        <w:r w:rsidRPr="00BE0E8C">
          <w:rPr>
            <w:rStyle w:val="Hyperlink"/>
            <w:u w:val="none"/>
          </w:rPr>
          <w:t>https://bop.rbi.org.in</w:t>
        </w:r>
      </w:hyperlink>
      <w:r w:rsidRPr="00BE0E8C">
        <w:rPr>
          <w:color w:val="000000"/>
        </w:rPr>
        <w: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F74A17" w:rsidRPr="00BE0E8C" w:rsidRDefault="00F74A17" w:rsidP="00F74A17">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F74A17" w:rsidRPr="00BE0E8C" w:rsidRDefault="00F74A17" w:rsidP="00F74A17">
      <w:pPr>
        <w:pStyle w:val="NormalWeb"/>
        <w:numPr>
          <w:ilvl w:val="0"/>
          <w:numId w:val="11"/>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F74A17" w:rsidRPr="00BE0E8C" w:rsidRDefault="00F74A17" w:rsidP="00F74A17">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76" w:tgtFrame="_blank" w:history="1">
        <w:r w:rsidRPr="00BE0E8C">
          <w:rPr>
            <w:rStyle w:val="Hyperlink"/>
            <w:u w:val="none"/>
          </w:rPr>
          <w:t>Annex</w:t>
        </w:r>
      </w:hyperlink>
      <w:r w:rsidRPr="00BE0E8C">
        <w:rPr>
          <w:color w:val="000000"/>
        </w:rPr>
        <w: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F74A17" w:rsidRPr="00BE0E8C" w:rsidRDefault="00F74A17" w:rsidP="00F74A17">
      <w:pPr>
        <w:pStyle w:val="NormalWeb"/>
        <w:numPr>
          <w:ilvl w:val="0"/>
          <w:numId w:val="12"/>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F74A17" w:rsidRPr="00BE0E8C" w:rsidRDefault="00F74A17" w:rsidP="00F74A17">
      <w:pPr>
        <w:pStyle w:val="NormalWeb"/>
        <w:shd w:val="clear" w:color="auto" w:fill="FFFFFF"/>
        <w:spacing w:before="0" w:beforeAutospacing="0" w:after="0" w:afterAutospacing="0"/>
        <w:rPr>
          <w:color w:val="000000"/>
        </w:rPr>
      </w:pPr>
    </w:p>
    <w:p w:rsidR="00F74A17" w:rsidRPr="00BE0E8C" w:rsidRDefault="00F74A17" w:rsidP="00F74A17">
      <w:pPr>
        <w:pStyle w:val="NormalWeb"/>
        <w:shd w:val="clear" w:color="auto" w:fill="FFFFFF"/>
        <w:spacing w:before="0" w:beforeAutospacing="0" w:after="0" w:afterAutospacing="0"/>
        <w:rPr>
          <w:color w:val="000000"/>
        </w:rPr>
      </w:pPr>
      <w:r w:rsidRPr="00BE0E8C">
        <w:rPr>
          <w:color w:val="000000"/>
        </w:rPr>
        <w:t xml:space="preserve">3. AD Banks need to report all card transactions (e.g., through </w:t>
      </w:r>
      <w:proofErr w:type="spellStart"/>
      <w:r w:rsidRPr="00BE0E8C">
        <w:rPr>
          <w:color w:val="000000"/>
        </w:rPr>
        <w:t>PoS</w:t>
      </w:r>
      <w:proofErr w:type="spellEnd"/>
      <w:r w:rsidRPr="00BE0E8C">
        <w:rPr>
          <w:color w:val="000000"/>
        </w:rPr>
        <w:t xml:space="preserve"> terminals / e-commerce (online purchase) / for transferring funds to bank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Data submission by ADs:</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lastRenderedPageBreak/>
        <w:t>ADs shall submit the FETERS-Cards data on the web-portal (</w:t>
      </w:r>
      <w:hyperlink r:id="rId77" w:tgtFrame="_blank" w:history="1">
        <w:r w:rsidRPr="00BE0E8C">
          <w:rPr>
            <w:rStyle w:val="Hyperlink"/>
            <w:u w:val="none"/>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FETERS-Cards reporting will be implemented for the transactions taking place from April 1, 2021. Hence, details of the transactions in April 2021 may be reported in the first week of May 2021.</w:t>
      </w:r>
    </w:p>
    <w:p w:rsidR="00F74A17" w:rsidRPr="00BE0E8C" w:rsidRDefault="00F74A17" w:rsidP="00F74A17">
      <w:pPr>
        <w:pStyle w:val="NormalWeb"/>
        <w:numPr>
          <w:ilvl w:val="0"/>
          <w:numId w:val="13"/>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78" w:history="1">
        <w:r w:rsidRPr="00BE0E8C">
          <w:rPr>
            <w:rStyle w:val="Hyperlink"/>
            <w:u w:val="none"/>
          </w:rPr>
          <w:t>e-mail</w:t>
        </w:r>
      </w:hyperlink>
      <w:r w:rsidRPr="00BE0E8C">
        <w:rPr>
          <w:color w:val="000000"/>
        </w:rPr>
        <w:t> or contact by phone at 022-26578416 or 022-26571154 (direct).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Deferment of applicability of limits on non-centrally cleared derivatives exposures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RBI/2020-21/109 DOR.No.CRE.BC.47/21.01.003/2020-21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Small Finance Banks, Payments Banks, Local Area Banks and Regional Rural Banks)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w:t>
      </w:r>
      <w:hyperlink r:id="rId79" w:tgtFrame="_blank" w:history="1">
        <w:r w:rsidRPr="00BE0E8C">
          <w:rPr>
            <w:rStyle w:val="Hyperlink"/>
            <w:u w:val="none"/>
          </w:rPr>
          <w:t>circular No.DOR.No.BP.BC.43/21.01.003/2019-20 dated March 23, 2020</w:t>
        </w:r>
      </w:hyperlink>
      <w:r w:rsidRPr="00BE0E8C">
        <w:rPr>
          <w:color w:val="000000"/>
        </w:rPr>
        <w:t> on Large Exposures Framework (LEF).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On a review it has been decided that non-centrally cleared derivatives exposures will continue to be outside the purview of exposure limits till September 30, 2021.</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Data Format for Furnishing of Credit Information to Credit Information Companies and other Regulatory Measures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RBI/2020-21/106 DoR.FIN.REC.46/20.16.056/2020-21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12, 2021</w:t>
      </w: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excluding Payment Banks, All Primary (Urban) Co-operative Banks/State Co-operative Banks/ District Central Co-operative Banks, All-India Financial Institutions (Exim Bank, NABARD, NHB and SIDBI), All Non-Banking Financial Companies (including Housing Finance Companies) All Credit Information Companies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80" w:tgtFrame="_blank" w:history="1">
        <w:r w:rsidRPr="00BE0E8C">
          <w:rPr>
            <w:rStyle w:val="Hyperlink"/>
            <w:u w:val="none"/>
          </w:rPr>
          <w:t>circular DBOD.No.CID.BC.127/20.16.056/2013-14 dated June 27, 2014</w:t>
        </w:r>
      </w:hyperlink>
      <w:r w:rsidRPr="00BE0E8C">
        <w:rPr>
          <w:color w:val="000000"/>
        </w:rPr>
        <w:t> inter alia setting out a Uniform Credit Reporting Format for the purpose of reporting credit information to the Credit Information Companies (CICs).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The Uniform Credit Reporting Format has two Annexes. The Annex-I contains two formats for credit reporting, viz., Consumer Bureau and Commercial Bureau, whereas Annex-II contains credit reporting format for Micro Finance Institution (MFI) segment.</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It has now been decided to modify the aforesaid three formats as under:</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lastRenderedPageBreak/>
        <w:t>(i) </w:t>
      </w:r>
      <w:r w:rsidRPr="00BE0E8C">
        <w:rPr>
          <w:b/>
          <w:bCs/>
          <w:color w:val="000000"/>
        </w:rPr>
        <w:t>Consumer Bureau:</w:t>
      </w:r>
      <w:r w:rsidRPr="00BE0E8C">
        <w:rPr>
          <w:color w:val="000000"/>
        </w:rPr>
        <w:t> The label of the field ‘Written off and Settled status’ is modified as ‘Credit Facility Status’ and it will also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 </w:t>
      </w:r>
      <w:r w:rsidRPr="00BE0E8C">
        <w:rPr>
          <w:b/>
          <w:bCs/>
          <w:color w:val="000000"/>
        </w:rPr>
        <w:t>Commercial Bureau:</w:t>
      </w:r>
      <w:r w:rsidRPr="00BE0E8C">
        <w:rPr>
          <w:color w:val="000000"/>
        </w:rPr>
        <w:t> The existing field ‘Major reasons for restructuring’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(iii) </w:t>
      </w:r>
      <w:r w:rsidRPr="00BE0E8C">
        <w:rPr>
          <w:b/>
          <w:bCs/>
          <w:color w:val="000000"/>
        </w:rPr>
        <w:t>MFI Bureau:</w:t>
      </w:r>
      <w:r w:rsidRPr="00BE0E8C">
        <w:rPr>
          <w:color w:val="000000"/>
        </w:rPr>
        <w:t> The existing field ‘Account status’ will have a new catalogue value, viz., ‘Restructured due to COVID-19’.</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modifications are being made to enable banks/AIFIs/NBFCs to report the information relating to restructured loans to CICs as envisaged in </w:t>
      </w:r>
      <w:hyperlink r:id="rId81" w:tgtFrame="_blank" w:history="1">
        <w:r w:rsidRPr="00BE0E8C">
          <w:rPr>
            <w:rStyle w:val="Hyperlink"/>
            <w:u w:val="none"/>
          </w:rPr>
          <w:t>circular DOR.No.BP.BC.3/21.04.048/2020-21 dated August 6, 2020</w:t>
        </w:r>
      </w:hyperlink>
      <w:r w:rsidRPr="00BE0E8C">
        <w:rPr>
          <w:color w:val="000000"/>
        </w:rPr>
        <w:t>, on the Resolution Framework for COVID-19 related stress.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Banks/AIFIs/NBFCs should make necessary modification to their systems and commence reporting the above information to CICs within two months from the date of this circular. CICs shall make necessary modifications to their system to reflect the above changes.</w:t>
      </w:r>
    </w:p>
    <w:p w:rsidR="00F74A17" w:rsidRDefault="00F74A17" w:rsidP="002E2BDE">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Investment by Foreign Portfolio Investors (FPI) in Defaulted Bonds – Relaxations</w:t>
      </w:r>
    </w:p>
    <w:p w:rsidR="00F74A17" w:rsidRPr="00BE0E8C" w:rsidRDefault="00F74A17" w:rsidP="00F74A17">
      <w:pPr>
        <w:pStyle w:val="NormalWeb"/>
        <w:shd w:val="clear" w:color="auto" w:fill="FFFFFF"/>
        <w:spacing w:before="0" w:beforeAutospacing="0" w:after="0" w:afterAutospacing="0"/>
        <w:jc w:val="both"/>
        <w:rPr>
          <w:b/>
          <w:color w:val="000000"/>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RBI/2020-21/105 A.P. (DIR Series) Circular No. 12</w:t>
      </w:r>
      <w:r w:rsidRPr="00BE0E8C">
        <w:rPr>
          <w:b/>
          <w:color w:val="000000"/>
        </w:rPr>
        <w:tab/>
      </w:r>
      <w:r w:rsidRPr="00BE0E8C">
        <w:rPr>
          <w:b/>
          <w:color w:val="000000"/>
        </w:rPr>
        <w:tab/>
        <w:t xml:space="preserve">         February 26, 2021</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i/>
          <w:color w:val="000000"/>
        </w:rPr>
      </w:pPr>
      <w:r w:rsidRPr="00BE0E8C">
        <w:rPr>
          <w:i/>
          <w:color w:val="000000"/>
        </w:rPr>
        <w:t>All Authorised persons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Foreign Exchange Management (Debt Instruments) Regulations, 2019 notified vide </w:t>
      </w:r>
      <w:hyperlink r:id="rId82" w:tgtFrame="_blank" w:history="1">
        <w:r w:rsidRPr="00BE0E8C">
          <w:rPr>
            <w:rStyle w:val="Hyperlink"/>
            <w:u w:val="none"/>
          </w:rPr>
          <w:t>Notification No. FEMA. 396/2019-RB dated October 17, 2019</w:t>
        </w:r>
      </w:hyperlink>
      <w:r w:rsidRPr="00BE0E8C">
        <w:rPr>
          <w:color w:val="000000"/>
        </w:rPr>
        <w:t>, as amended from time to time, and the relevant directions issued thereunder. A reference is also invited to </w:t>
      </w:r>
      <w:hyperlink r:id="rId83" w:tgtFrame="_blank" w:history="1">
        <w:r w:rsidRPr="00BE0E8C">
          <w:rPr>
            <w:rStyle w:val="Hyperlink"/>
            <w:u w:val="none"/>
          </w:rPr>
          <w:t>A.P. (DIR Series) Circular No. 31 dated November 26, 2015</w:t>
        </w:r>
      </w:hyperlink>
      <w:r w:rsidRPr="00BE0E8C">
        <w:rPr>
          <w:color w:val="000000"/>
        </w:rPr>
        <w:t> wherein FPIs were permitted to acquire NCDs/bonds, which are under default, either fully or partly, in the repayment of principal on maturity or principal instalment in the case of amortising bond, and to </w:t>
      </w:r>
      <w:hyperlink r:id="rId84" w:tgtFrame="_blank" w:history="1">
        <w:r w:rsidRPr="00BE0E8C">
          <w:rPr>
            <w:rStyle w:val="Hyperlink"/>
            <w:u w:val="none"/>
          </w:rPr>
          <w:t>A.P. (DIR Series) Circular No. 31 dated June 15, 2018</w:t>
        </w:r>
      </w:hyperlink>
      <w:r w:rsidRPr="00BE0E8C">
        <w:rPr>
          <w:color w:val="000000"/>
        </w:rPr>
        <w:t> (hereinafter, Directions), as amended from time to time.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2. Attention of AD Category-I banks is also invited to para 12 of </w:t>
      </w:r>
      <w:hyperlink r:id="rId85" w:tgtFrame="_blank" w:history="1">
        <w:r w:rsidRPr="00BE0E8C">
          <w:rPr>
            <w:rStyle w:val="Hyperlink"/>
            <w:u w:val="none"/>
          </w:rPr>
          <w:t>Statement on Developmental and Regulatory Policies dated February 05, 2021</w:t>
        </w:r>
      </w:hyperlink>
      <w:r w:rsidRPr="00BE0E8C">
        <w:rPr>
          <w:color w:val="000000"/>
        </w:rPr>
        <w:t>, wherein it was announced that FPI investment in defaulted corporate bonds will be exempted from the short-term limit and the minimum residual maturity requirement under the MTF.</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4. The updated </w:t>
      </w:r>
      <w:hyperlink r:id="rId86" w:tgtFrame="_blank" w:history="1">
        <w:r w:rsidRPr="00BE0E8C">
          <w:rPr>
            <w:rStyle w:val="Hyperlink"/>
            <w:u w:val="none"/>
          </w:rPr>
          <w:t>Directions</w:t>
        </w:r>
      </w:hyperlink>
      <w:r w:rsidRPr="00BE0E8C">
        <w:rPr>
          <w:color w:val="000000"/>
        </w:rPr>
        <w:t> are attached.</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5. These directions are issued under sections 10(4) and 11(1) of the Foreign Exchange Management Act, 1999 (42 of 1999) and are without prejudice to permissions/ approvals, if any, required under any other law.</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jc w:val="both"/>
        <w:rPr>
          <w:rStyle w:val="Hyperlink"/>
        </w:rPr>
      </w:pPr>
      <w:r w:rsidRPr="00BE0E8C">
        <w:rPr>
          <w:color w:val="000000"/>
        </w:rPr>
        <w:t xml:space="preserve">Updated MD: </w:t>
      </w:r>
      <w:hyperlink r:id="rId87" w:history="1">
        <w:r w:rsidRPr="00BE0E8C">
          <w:rPr>
            <w:rStyle w:val="Hyperlink"/>
          </w:rPr>
          <w:t>https://www.rbi.org.in/Scripts/NotificationUser.aspx?Id=11303&amp;Mode=0</w:t>
        </w:r>
      </w:hyperlink>
    </w:p>
    <w:p w:rsidR="00F74A17" w:rsidRPr="00BE0E8C" w:rsidRDefault="00F74A17" w:rsidP="00F74A17">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Direction on Digital Payment Security Controls</w:t>
      </w:r>
    </w:p>
    <w:p w:rsidR="00F74A17" w:rsidRPr="00BE0E8C" w:rsidRDefault="00F74A17" w:rsidP="00F74A17">
      <w:pPr>
        <w:spacing w:after="0" w:line="240" w:lineRule="auto"/>
        <w:jc w:val="both"/>
        <w:rPr>
          <w:rFonts w:ascii="Times New Roman" w:hAnsi="Times New Roman" w:cs="Times New Roman"/>
          <w:b/>
          <w:bCs/>
          <w:color w:val="000000"/>
          <w:sz w:val="24"/>
          <w:szCs w:val="24"/>
        </w:rPr>
      </w:pPr>
    </w:p>
    <w:p w:rsidR="00F74A17" w:rsidRPr="00BE0E8C" w:rsidRDefault="00F74A17" w:rsidP="00F74A17">
      <w:pPr>
        <w:pStyle w:val="NormalWeb"/>
        <w:shd w:val="clear" w:color="auto" w:fill="FFFFFF"/>
        <w:spacing w:before="0" w:beforeAutospacing="0" w:after="0" w:afterAutospacing="0"/>
        <w:jc w:val="both"/>
        <w:rPr>
          <w:b/>
          <w:color w:val="000000"/>
        </w:rPr>
      </w:pPr>
      <w:r w:rsidRPr="00BE0E8C">
        <w:rPr>
          <w:b/>
          <w:color w:val="000000"/>
        </w:rPr>
        <w:t xml:space="preserve">RBI/2020-21/74 </w:t>
      </w:r>
      <w:proofErr w:type="gramStart"/>
      <w:r w:rsidRPr="00BE0E8C">
        <w:rPr>
          <w:b/>
          <w:color w:val="000000"/>
        </w:rPr>
        <w:t>DoS.CO.CSITE.SEC.No.</w:t>
      </w:r>
      <w:proofErr w:type="gramEnd"/>
      <w:r w:rsidRPr="00BE0E8C">
        <w:rPr>
          <w:b/>
          <w:color w:val="000000"/>
        </w:rPr>
        <w:t>1852/31.01.015/2020-21       February 18,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Managing Director/ Chief Executive Officer, All Scheduled Commercial Banks excluding RRBs/Small Finance Banks/Payments Banks/ Credit Card issuing NBFCs.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para II (7) of the Statement on Developmental and Regulatory Policies of the Bi-monthly Monetary Policy Statement for 2020-21 dated December 4, 2020 (</w:t>
      </w:r>
      <w:hyperlink r:id="rId88" w:anchor="S1" w:history="1">
        <w:r w:rsidRPr="00BE0E8C">
          <w:rPr>
            <w:rStyle w:val="Hyperlink"/>
            <w:rFonts w:ascii="Times New Roman" w:hAnsi="Times New Roman" w:cs="Times New Roman"/>
            <w:sz w:val="24"/>
            <w:szCs w:val="24"/>
            <w:shd w:val="clear" w:color="auto" w:fill="FFFFFF"/>
          </w:rPr>
          <w:t>extract given below</w:t>
        </w:r>
      </w:hyperlink>
      <w:r w:rsidRPr="00BE0E8C">
        <w:rPr>
          <w:rFonts w:ascii="Times New Roman" w:hAnsi="Times New Roman" w:cs="Times New Roman"/>
          <w:color w:val="000000"/>
          <w:sz w:val="24"/>
          <w:szCs w:val="24"/>
          <w:shd w:val="clear" w:color="auto" w:fill="FFFFFF"/>
        </w:rPr>
        <w:t>). The </w:t>
      </w:r>
      <w:hyperlink r:id="rId89" w:anchor="MD" w:history="1">
        <w:r w:rsidRPr="00BE0E8C">
          <w:rPr>
            <w:rStyle w:val="Hyperlink"/>
            <w:rFonts w:ascii="Times New Roman" w:hAnsi="Times New Roman" w:cs="Times New Roman"/>
            <w:sz w:val="24"/>
            <w:szCs w:val="24"/>
            <w:shd w:val="clear" w:color="auto" w:fill="FFFFFF"/>
          </w:rPr>
          <w:t>Master Direction</w:t>
        </w:r>
      </w:hyperlink>
      <w:r w:rsidRPr="00BE0E8C">
        <w:rPr>
          <w:rFonts w:ascii="Times New Roman" w:hAnsi="Times New Roman" w:cs="Times New Roman"/>
          <w:color w:val="000000"/>
          <w:sz w:val="24"/>
          <w:szCs w:val="24"/>
          <w:shd w:val="clear" w:color="auto" w:fill="FFFFFF"/>
        </w:rPr>
        <w:t> provides necessary guidelines for the regulated entities to set up a robust governance structure and implement common minimum standards of security controls for digital payment products and services.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sz w:val="24"/>
          <w:szCs w:val="24"/>
          <w:lang w:eastAsia="en-IN"/>
        </w:rPr>
      </w:pPr>
      <w:r w:rsidRPr="00BE0E8C">
        <w:rPr>
          <w:rFonts w:ascii="Times New Roman" w:eastAsia="Times New Roman" w:hAnsi="Times New Roman" w:cs="Times New Roman"/>
          <w:color w:val="000000"/>
          <w:sz w:val="24"/>
          <w:szCs w:val="24"/>
          <w:lang w:eastAsia="en-IN"/>
        </w:rPr>
        <w:t>Going by the pre-eminent role being played by digital payment systems in India, RBI gives highest importance to the security controls around it. Now it is proposed to issue Reserve Bank of India (Digital Payment Security Controls) Directions 2020, for regulated entities to set up a robust governance structure for such systems and implement common minimum standards of security controls for channels like internet, mobile banking, card payments, among others. While the guidelines will be technology and platform agnostic, it will create an enhanced and enabling environment for customers to use digital payment products in more safe and secure manner. Necessary guidelines will be issued separately.</w:t>
      </w:r>
    </w:p>
    <w:p w:rsidR="00F74A17" w:rsidRPr="00BE0E8C" w:rsidRDefault="00F74A17" w:rsidP="00F74A17">
      <w:pPr>
        <w:shd w:val="clear" w:color="auto" w:fill="FFFFFF"/>
        <w:spacing w:after="0" w:line="240" w:lineRule="auto"/>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INTRODUCTION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the Banking Regulation Act, 1949, the Reserve Bank of India Act, 1934 and Payment and Settlement Systems Act, 2007, the Reserve Bank, being satisfied that it is necessary and expedient in the public interest so to do, hereby, issues the directions hereinafter specified.</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PRELIMINARY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be called the Reserve Bank of India (Digital Payment Security Controls) directions, 2021.</w:t>
      </w:r>
    </w:p>
    <w:p w:rsidR="00F74A17" w:rsidRPr="00BE0E8C" w:rsidRDefault="00F74A17" w:rsidP="00F74A1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directions shall come into effect six months from the day they are placed on the official website of the Reserve Bank of India (RBI). However, in respect of instructions already issued either by Department of Payment and Settlement Systems (DPSS), Department of Regulation (</w:t>
      </w:r>
      <w:proofErr w:type="spellStart"/>
      <w:r w:rsidRPr="00BE0E8C">
        <w:rPr>
          <w:rFonts w:ascii="Times New Roman" w:eastAsia="Times New Roman" w:hAnsi="Times New Roman" w:cs="Times New Roman"/>
          <w:color w:val="000000"/>
          <w:sz w:val="24"/>
          <w:szCs w:val="24"/>
          <w:lang w:eastAsia="en-IN"/>
        </w:rPr>
        <w:t>DoR</w:t>
      </w:r>
      <w:proofErr w:type="spellEnd"/>
      <w:r w:rsidRPr="00BE0E8C">
        <w:rPr>
          <w:rFonts w:ascii="Times New Roman" w:eastAsia="Times New Roman" w:hAnsi="Times New Roman" w:cs="Times New Roman"/>
          <w:color w:val="000000"/>
          <w:sz w:val="24"/>
          <w:szCs w:val="24"/>
          <w:lang w:eastAsia="en-IN"/>
        </w:rPr>
        <w:t>) or Department of Supervision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of RBI including those to select Regulated Entities (REs), by way of circular or advisory, the timeline would be with immediate effect or as per the timelines already prescribed.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2. Applicability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provisions of these directions shall apply to the following Regulated Entities (REs):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Scheduled Commercial Banks (excluding Regional Rural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Small Finance Banks;</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Payments Banks; and</w:t>
      </w:r>
    </w:p>
    <w:p w:rsidR="00F74A17" w:rsidRPr="00BE0E8C" w:rsidRDefault="00F74A17" w:rsidP="00F74A17">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Credit card issuing NBFCs.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3. Definitions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expressions unless defined herein shall have the same meaning as have been assigned to them under the Banking Regulation Act, 1949, Reserve Bank of India Act, 1934, Payment and Settlement Systems Act, 2007 or Information Technology Act, 2000/ Information Technology (Amendment) Act, 2008 and Rules made thereunder, any statutory modification or re-enactment thereto or as used in commercial parlance, as the case may be.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 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GENERAL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Governance and Management of Security Risks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REs shall formulate a policy for digital payment products and services with the approval of their Board. The contours of the policy, while discussing the parameters of any “new product” including its alignment with the overall business strategy and inherent risk of the product, risk management/ mitigation measures, compliance with regulatory instructions, customer experience, etc., should explicitly discuss about payment security requirements from Functionality, Security and Performance (FSP) angles such as: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Necessary controls to protect the confidentiality of customer data and integrity of data and processes associated with the digital product/ services offered;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Availability of requisite infrastructure e.g. human resources, technology, etc. with necessary back up;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Assurance that the payment product is built in a secure manner offering robust performance ensuring safety, consistency and rolled out after necessary testing for achieving desired FSP;</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Capacity building and expansion with scalability (to meet the growth for efficient transaction processing);</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Minimal customer service disruption with high availability of systems/ channels (to have minimal technical declines);</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Efficient and effective dispute resolution mechanism and handling of customer grievance; and</w:t>
      </w:r>
    </w:p>
    <w:p w:rsidR="00F74A17" w:rsidRPr="00BE0E8C" w:rsidRDefault="00F74A17" w:rsidP="00F74A17">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Adequate and appropriate review mechanism followed by swift corrective action, in case any one of the above requirements is hampered or having high potential to get hampered.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Board and Senior Management shall be responsible for implementation of this policy. The policy shall be reviewed periodically, at least on a yearly basis. REs may formulate this policy separately for its different digital products or include the same as part of their overall product policy. Further, the policy document should require that every digital payment product/ services offered addresses the mechanics, clear definition of starting point, critical intermittent stages/ points and end point in the digital payment cycle, security aspects, validations till the digital payment is settled, clear pictorial representation of digital path and exception handling. In addition, signing off of the above requirements, mechanism for carrying out User Acceptance Tests (UAT) in multiple stages before roll out, sign off from multiple stakeholders (post UAT) and data archival requirements shall also be taken in to account. The need for an external assessment of the entire process including the logic, build and security aspects of the application(s) supporting the digital product should be clearly articulated.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5. REs shall incorporate appropriate processes into their governance and risk management programs for identifying, analysing, monitoring and managing the specific risks, including compliance risk and fraud risk, associated with the portfolio of digital payment products and services on a continual basis and in a holistic manner. The Board/ Senior Management of REs shall have appropriate performance monitoring systems/ key performance indicators for assessing whether the product or service offered through digital payment channels meet operational and security norms.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As part of this process, the REs shall define product-level limits on the level of acceptable security risk, document specific security objectives and performance criteria including quantitative benchmarks for evaluating the success of the security built into the digital payment product or service, periodically compare actual results with projections and qualitative benchmarks to detect and address adverse trends or concerns in a timely manner and modify the business plan/ strategy involving the product, when appropriate, based on the security performance of the product or service.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REs shall have trained resources with necessary expertise to manage the digital payment infrastructure. Wherever the REs are dependent on third party service providers, adequate oversight and controls for monitoring the activities of the third party personnel, in line with RBI guidelines on outsourcing, shall be put in place.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8. REs shall conduct risk assessments with regard to the safety and security of digital payment products and associated processes and services as well as suitability and appropriateness of the same vis-a-vis the target users, both prior to establishing the service(s) and regularly thereafter. The risk assessment should take into account –</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technology stack and solutions used;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Known vulnerabilities at each of the touchpoints of the digital product and the remedial action taken by the entity;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Dependence on third party service providers and oversight over such providers;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Risk arising out of integration of digital payment platform with other systems both internal and external to the RE, including core systems and systems of payment systems operators, etc.;</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customer experience, convenience and technology adoption required to use such products;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Reconciliation process;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Interoperability aspects;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storage, security and privacy protection as per extant laws/ instructions;</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Operational risk including fraud risk;</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Business continuity and service availability;</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Compliance with extant cyber security requirements; and</w:t>
      </w:r>
    </w:p>
    <w:p w:rsidR="00F74A17" w:rsidRPr="00BE0E8C" w:rsidRDefault="00F74A17" w:rsidP="00F74A17">
      <w:pPr>
        <w:pStyle w:val="ListParagraph"/>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Compatibility aspects.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Such assessment shall cover the surrounding ecosystem as well. The assessment of risks shall address the need to protect and secure payment data</w:t>
      </w:r>
      <w:hyperlink r:id="rId90"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 and evaluate the resilience of systems. The internal Risk and Control Self-Assessment (RCSA) exercise shall cover the risks (inherent) &amp; controls vis-à-vis the probability and impact of threats to arrive at residual risk. In such an exercise, it is imperative for REs to maintain database of all systems and applications storing customer data in the payment ecosystem and compliance with applicable PCI standards in each of the systems (notwithstanding mandatory requirements of certification/ standard accreditation).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9. REs shall evaluate the risks associated with the chosen technology platforms, application architecture, both on the server and client side. Further, REs should undertake a review of the risk scenarios and existing security measures based on incidents affecting their services, before any major change to the infrastructure or procedures is made or, when, any new threats are identified through risk monitoring activities. Further, unused or unwanted features of the platform should be closely controlled to minimise risk.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10. REs shall develop sound internal control systems and take into account the operational risk before offering digital payment products and related services. This would include ensuring that adequate safeguards are in place to protect integrity of data, customer confidentiality and security of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11. REs shall ensure that the digital payment architecture is robust and scalable, commensurate with the transaction volumes and customer growth. The IT strategy of the RE shall ensure that a robust capacity management plan is in place to meet evolving demand. REs shall also put in place review mechanism of IT/ IT Security architecture and technology platform overhaul on a periodic basis based on Board-approved policy.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12. REs shall have necessary capacity, systems and procedures in place to periodically test the backed-up data, application pertaining to digital products to ensure recovery without loss of transactions or audit-trails. These facilities should be tested at least on a half-yearly basis for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Other Generic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13. The communication protocol in the digital payment channels (especially over Internet) shall adhere to a secure standard. An appropriate level of encryption and security shall be implemented in the digital payment ecosystem.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14. Web applications providing the digital payment products and services should not store sensitive information in HTML hidden fields, cookies, or any other client-side storage to avoid any compromise in the integrity of the data.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15. REs shall implement Web Application Firewall (WAF) solution and </w:t>
      </w:r>
      <w:proofErr w:type="spellStart"/>
      <w:r w:rsidRPr="00BE0E8C">
        <w:rPr>
          <w:rFonts w:ascii="Times New Roman" w:eastAsia="Times New Roman" w:hAnsi="Times New Roman" w:cs="Times New Roman"/>
          <w:color w:val="000000"/>
          <w:sz w:val="24"/>
          <w:szCs w:val="24"/>
          <w:lang w:eastAsia="en-IN"/>
        </w:rPr>
        <w:t>DDoS</w:t>
      </w:r>
      <w:proofErr w:type="spellEnd"/>
      <w:r w:rsidRPr="00BE0E8C">
        <w:rPr>
          <w:rFonts w:ascii="Times New Roman" w:eastAsia="Times New Roman" w:hAnsi="Times New Roman" w:cs="Times New Roman"/>
          <w:color w:val="000000"/>
          <w:sz w:val="24"/>
          <w:szCs w:val="24"/>
          <w:lang w:eastAsia="en-IN"/>
        </w:rPr>
        <w:t xml:space="preserve"> mitigation techniques to secure the digital payment products and services offered over Internet.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16. The key length (for symmetric/ asymmetric encryption, hashing), algorithms (for encryption, signing, exchange of keys, creation of message digest, random number generators), cipher suites, digital certificates and applicable protocols used in transmission channels, processing of data, authentication purpose, shall be strong, adopting internationally accepted and published standards that are not deprecated/ demonstrated to be insecure/ vulnerable and the configurations involved in implementing such controls are in general, compliant with extant instructions and the law of the land.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17. REs shall renew their digital certificates used in digital payment ecosystem well in time.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18. The mobile application</w:t>
      </w:r>
      <w:hyperlink r:id="rId91" w:anchor="F2" w:history="1">
        <w:r w:rsidRPr="00BE0E8C">
          <w:rPr>
            <w:rFonts w:ascii="Times New Roman" w:eastAsia="Times New Roman" w:hAnsi="Times New Roman" w:cs="Times New Roman"/>
            <w:color w:val="0000FF"/>
            <w:sz w:val="24"/>
            <w:szCs w:val="24"/>
            <w:u w:val="single"/>
            <w:vertAlign w:val="superscript"/>
            <w:lang w:eastAsia="en-IN"/>
          </w:rPr>
          <w:t>2</w:t>
        </w:r>
      </w:hyperlink>
      <w:r w:rsidRPr="00BE0E8C">
        <w:rPr>
          <w:rFonts w:ascii="Times New Roman" w:eastAsia="Times New Roman" w:hAnsi="Times New Roman" w:cs="Times New Roman"/>
          <w:color w:val="000000"/>
          <w:sz w:val="24"/>
          <w:szCs w:val="24"/>
          <w:lang w:eastAsia="en-IN"/>
        </w:rPr>
        <w:t> and internet banking application should have effective logging and monitoring capabilities to track user activity, security changes and identify anomalous behaviour and transactions.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Application Security Life Cycle (ASLC)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 REs shall implement multi-tier application architecture, segregating application, database and presentation layer in the digital payment products and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 REs shall follow a ‘secure by design’ approach in the development of digital payment products and services. REs shall ensure that digital payment applications are inherently more secure by embedding security within their development lifecycle.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 REs shall explicitly define security objectives (including protection of customer information/ data) during (a) requirements gathering, (b) designing, (c) development, (d) testing including source code review, (e) implementation, maintenance &amp; monitoring and (f) decommissioning phases of the digital payment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22. REs (including those partnering with other entities to co-brand/ co-develop applications) shall adopt and incorporate a threat modelling approach during application lifecycle management into their policies, processes, guidelines and procedures.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23. For digital payment applications that are licensed by a third party vendor, REs shall have an escrow arrangement for the source code for ensuring continuity of services in case the vendor defaults or is unable to provide services.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24. REs shall conduct security testing including review of source code, Vulnerability Assessment (VA) and Penetration Testing (PT) of their digital payment applications to assure that the application is secure for putting through transactions while preserving confidentiality and integrity of the data that is stored and transmitted. Such testing should invariably cover compliance with various standards like OWASP. If the source code is not owned by the RE, then, in such cases, the RE shall obtain a certificate from the application developer stating that the application is free of known vulnerabilities, malwares and any covert channels in the code. </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this context,</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VA shall be conducted at least on a half-yearly basis; PT shall be conducted at least on a yearly basis. In addition, VA/PT shall be conducted as and when any new IT Infrastructure or digital payment application is introduced or when any major change is performed in application or infrastructure;</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related to review of source code/ certification shall be conducted/ obtained. This shall continue on a yearly basis, if changes/ upgrades have been made to the application during the year;</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Testing/ Certification should broadly address the objective that the product/ version/module(s) functions only in a manner that it is intended to do, is developed as per the best secure design/ coding practices and standards, addressing known flaws/threats due to insecure coding; and</w:t>
      </w:r>
    </w:p>
    <w:p w:rsidR="00F74A17" w:rsidRPr="00BE0E8C" w:rsidRDefault="00F74A17" w:rsidP="00F74A17">
      <w:pPr>
        <w:pStyle w:val="ListParagraph"/>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Penal provisions shall be included by the RE into third-party contractual arrangements for any non-compliance by the application provider.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25. REs may also run automated VA scanning tools to automatically scan all systems on the network that are critical, public facing or store customer sensitive data on a continuous/ more frequent basis.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26. REs shall compare the results from earlier vulnerability scans to verify/ ascertain that vulnerabilities are addressed either by patching, implementing a compensating control, or </w:t>
      </w:r>
      <w:r w:rsidRPr="00BE0E8C">
        <w:rPr>
          <w:rFonts w:ascii="Times New Roman" w:eastAsia="Times New Roman" w:hAnsi="Times New Roman" w:cs="Times New Roman"/>
          <w:color w:val="000000"/>
          <w:sz w:val="24"/>
          <w:szCs w:val="24"/>
          <w:lang w:eastAsia="en-IN"/>
        </w:rPr>
        <w:lastRenderedPageBreak/>
        <w:t>documenting and accepting the residual risk with necessary approval and that there is no recurrence of the known vulnerabilities. The identified vulnerabilities should be fixed in a time-bound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27. REs shall ensure that all vulnerability scanning is performed in authenticated mode either with agents running locally on the system to analyse the security configuration or with remote scanners that are given administrative rights on the system being tested.</w:t>
      </w:r>
      <w:hyperlink r:id="rId92" w:anchor="F3" w:history="1">
        <w:r w:rsidRPr="00BE0E8C">
          <w:rPr>
            <w:rFonts w:ascii="Times New Roman" w:eastAsia="Times New Roman" w:hAnsi="Times New Roman" w:cs="Times New Roman"/>
            <w:color w:val="0000FF"/>
            <w:sz w:val="24"/>
            <w:szCs w:val="24"/>
            <w:u w:val="single"/>
            <w:vertAlign w:val="superscript"/>
            <w:lang w:eastAsia="en-IN"/>
          </w:rPr>
          <w:t>3</w:t>
        </w:r>
      </w:hyperlink>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28. REs shall verify and thoroughly test the functionality (to validate whether the system meets the functional requirements/ specifications) and security controls of payment products and services before its launch/ moving to the production environment.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29. REs shall institute a mechanism to actively monitor for the non-genuine/ unauthorised/ malicious applications (with similar name/ features) on popular app-stores and the Web and respond accordingly to bring them down.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30. The server at the RE’s end should have adequate checks and balances to ensure that no transaction is carried out through non-genuine/ unauthorised digital payment products/ applications and the authentication process is robust, secure and centralised.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31. The security controls for digital payment applications must focus on how these applications handle, store and protect payment data. The APIs for secure data storage and communication have to be implemented and used correctly in order to be effective. REs shall refer to standards such as OWASP-MASVS, OWASP-ASVS and other relevant OWASP standards, security and data protection guidelines in ISO 12812, threat catalogues and guides developed by NIST (including for Bluetooth and LTE security), for application security and other protection measures. Such testing has to necessarily verify for vulnerabilities including, but not limited to OWASP/ OWASP Mobile Top 10, application security guidelines/ requirements developed/ shared by operating system providers/ OEMs.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32. REs shall redact/ mask customer information such as account numbers/ card numbers/ other sensitive information when transmitted via SMS/ e-mails.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Authentication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33. In view of the proliferation of cyber-attacks and their potential consequences, REs should implement, except where explicitly permitted/ relaxed, multi-factor authentication for payments through electronic modes and fund transfers, including cash withdrawals from ATMs/ micro-ATMs/ business correspondents, through digital payment applications. At least one of the authentication methodologies should be generally dynamic or non-replicable. [e.g., Use of One Time Password, mobile devices (device binding and SIM), biometric/ PKI/ hardware tokens, EMV chip card (for Card Present Transactions) with server-side verification could be termed either in dynamic or non-replicable methodologies.].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34. REs may also adopt adaptive authentication to select the right authentication factors depending on risk assessment, user risk profile and behaviour. Properly designed and implemented multi-factor authentication methods are more reliable and stronger fraud deterrents and are more difficult to compromise. The key objectives of multi-factor authentication are to protect the confidentiality of payment data as well as enhance confidence in digital payment by combating various cyber-attack mechanisms like phishing, keylogging, </w:t>
      </w:r>
      <w:r w:rsidRPr="00BE0E8C">
        <w:rPr>
          <w:rFonts w:ascii="Times New Roman" w:eastAsia="Times New Roman" w:hAnsi="Times New Roman" w:cs="Times New Roman"/>
          <w:color w:val="000000"/>
          <w:sz w:val="24"/>
          <w:szCs w:val="24"/>
          <w:lang w:eastAsia="en-IN"/>
        </w:rPr>
        <w:lastRenderedPageBreak/>
        <w:t>spyware/ malware and other internet-based frauds targeted at REs and their customers. In this regard,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implementation of appropriate authentication methodologies should be based on an assessment of the risk posed by the RE’s digital payment products and services. The risk should be evaluated in light of the type of customer (e.g., retail/ corporate/ commercial); the customer transactional requirements/ pattern (e.g., bill payment, fund transfer), the sensitivity of customer information and the volume, value of transactions involved.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Beyond the technology factor, the success of a particular authentication method depends on appropriate policies, procedures, and controls. An effective authentication method should take into consideration customer acceptance, ease of use, reliable performance, scalability to accommodate growth, customer profile, location, transaction, etc., and interoperability with other systems.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 enhance online processing security, multi factor authentication and alerts (like SMS, e-mail, etc.) should be applied in respect of all payment transactions (including debits and credits), creation of new account linkages (addition/ modification/ deletion of beneficiaries), changing account details or revision to fund transfer limits. In devising these security features, REs should take into account their efficacy and differing customer preferences for additional online protection.</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alerts and OTPs received by the customer for online transactions shall identify the merchant name, wherever applicable, rather than the payment aggregator through which the transaction was effected.</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 an integral part of the multi factor authentication architecture, REs should also implement appropriate measures to minimise exposure to a middleman attack which is more commonly known as a man-in-the-middle attack (MITM), man-in-the browser (MITB) attack or man-in-the application attack. This is to ensure, among other things, that the data in transit is secured and the transactions are authenticated only by genuine/ authorised source/ process.</w:t>
      </w:r>
    </w:p>
    <w:p w:rsidR="00F74A17" w:rsidRPr="00BE0E8C" w:rsidRDefault="00F74A17" w:rsidP="00F74A17">
      <w:pPr>
        <w:pStyle w:val="ListParagraph"/>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authenticated session, together with its encryption protocol, should remain intact throughout the interaction with the customer. Else, in the event of interference or in case the customer closes the application, the session should be terminated, and the affected transactions resolved or reversed out. The customer should be promptly notified about the status of the transaction by email, SMS or through other means.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35. REs should set down the maximum number of failed log-in or authentication attempts after which access to the digital payment product/ service is blocked. They should have a secure procedure in place to re-activate the access to blocked product/ service. The customer shall be notified for failed log-in or authentication attempts.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Fraud Risk Management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36. The REs shall document and implement the configuration aspects for identifying suspicious transactional behaviour in respect of rules, preventive, detective types of controls, mechanism to alert the customers in case of failed authentication, time frame for the same,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37. System alerts shall be parameterised and monitored in terms of various applicable parameters. Such parameters, as applicable could be: transaction velocity (e.g., fund transfers, cash withdrawals, payments through electronic modes, adding new beneficiaries, etc.) in a short period, more so in the accounts of customers who’ve never used mobile app/ internet banking/ card ever (depending upon the type of payment channel), high risk merchant category codes (MCC) parameters, counterfeit card parameters (String of Invalid CVV/ PINs indicates </w:t>
      </w:r>
      <w:r w:rsidRPr="00BE0E8C">
        <w:rPr>
          <w:rFonts w:ascii="Times New Roman" w:eastAsia="Times New Roman" w:hAnsi="Times New Roman" w:cs="Times New Roman"/>
          <w:color w:val="000000"/>
          <w:sz w:val="24"/>
          <w:szCs w:val="24"/>
          <w:lang w:eastAsia="en-IN"/>
        </w:rPr>
        <w:lastRenderedPageBreak/>
        <w:t>an account generation attack), new account parameters (excessive activity on a new account), time zones, geo-locations, IP address origin (in respect of unusual patterns, prohibited zones/ rogue IPs), behavioural biometrics, transaction origination from point of compromise, transactions to mobile wallets/ mobile numbers/ VPAs on whom vishing fraud or other types of fraud is/are registered/ recorded, declined transactions, transactions with no approval code,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38. Fraud analysis shall be conducted to identify the reason for fraud occurrence and determine mechanism to prevent such frauds.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39. The staff, especially in the fraud control function, shall be educated about frauds and trained in the following skills and areas of expertise: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Fraud control tools and their usage;</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Investigative techniques and procedures;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Cardholder and merchant education techniques to prevent fraud;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Scheme/ Card operating regulations;</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Data processing and analysis and liaising or communicating with law enforcement agencies; and</w:t>
      </w:r>
    </w:p>
    <w:p w:rsidR="00F74A17" w:rsidRPr="00BE0E8C" w:rsidRDefault="00F74A17" w:rsidP="00F74A17">
      <w:pPr>
        <w:pStyle w:val="ListParagraph"/>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requisite skills required to (i) set and update appropriate rules, (ii) monitor the exceptions thrown based on the rules on a continuous basis and take necessary actions promptly, (iii) communicate/ escalate wherever required to appropriate authorities, and (iv) differentiate false positives from the rest.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40. REs shall maintain updated contact details of service providers, intermediaries, external agencies and other stakeholders (including other REs) for coordination in incident response. REs shall put in place a mechanism with the stakeholders to update and verify such contact details. REs shall also formulate specific SOPs to handle incidents related to payment ecosystem to mitigate the loss either to the customer or RE.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Reconciliation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41. A real time/ near-real time (not later than 24 hours from the time of receipt of settlement file(s)) reconciliation framework for all digital payment transactions between RE and all other stakeholders such as payment system operators, business correspondents, card networks, payment system processors, payment aggregators, payment gateways, third party technology service providers, other participants, etc., shall be put in place for better detection and prevention of suspicious transactions. A mechanism shall be introduced to monitor the implementation and effectiveness of such framework.</w:t>
      </w: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 xml:space="preserve">Customer Protection, Awareness and Grievance </w:t>
      </w:r>
      <w:proofErr w:type="spellStart"/>
      <w:r w:rsidRPr="00BE0E8C">
        <w:rPr>
          <w:rFonts w:ascii="Times New Roman" w:eastAsia="Times New Roman" w:hAnsi="Times New Roman" w:cs="Times New Roman"/>
          <w:b/>
          <w:bCs/>
          <w:color w:val="000000"/>
          <w:sz w:val="24"/>
          <w:szCs w:val="24"/>
          <w:lang w:eastAsia="en-IN"/>
        </w:rPr>
        <w:t>Redressal</w:t>
      </w:r>
      <w:proofErr w:type="spellEnd"/>
      <w:r w:rsidRPr="00BE0E8C">
        <w:rPr>
          <w:rFonts w:ascii="Times New Roman" w:eastAsia="Times New Roman" w:hAnsi="Times New Roman" w:cs="Times New Roman"/>
          <w:b/>
          <w:bCs/>
          <w:color w:val="000000"/>
          <w:sz w:val="24"/>
          <w:szCs w:val="24"/>
          <w:lang w:eastAsia="en-IN"/>
        </w:rPr>
        <w:t xml:space="preserve"> Mechanism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42. REs shall incorporate secure, safe and responsible usage guidelines and training materials for end users within the digital payment applications. They shall also make it mandatory (i.e. not providing any option to circumvent/ avoid the material) for the consumer to go through secure usage guidelines (even in the consumer’s preferred language) while obtaining and recording confirmation during the on-boarding procedure in the first instance and first use after each update of the digital payment application or after major updates to secure and safe usage guidelines.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43. REs shall mention/ incorporate a section on the digital payment application clearly specifying the process and procedure (with forms/ contact information, etc.) to lodge consumer grievances. A mechanism to keep this information periodically updated shall also be put in </w:t>
      </w:r>
      <w:r w:rsidRPr="00BE0E8C">
        <w:rPr>
          <w:rFonts w:ascii="Times New Roman" w:eastAsia="Times New Roman" w:hAnsi="Times New Roman" w:cs="Times New Roman"/>
          <w:color w:val="000000"/>
          <w:sz w:val="24"/>
          <w:szCs w:val="24"/>
          <w:lang w:eastAsia="en-IN"/>
        </w:rPr>
        <w:lastRenderedPageBreak/>
        <w:t>place. The reporting facility on the application shall provide an option for registering a grievance. Customer dispute handling, reporting and resolution procedures, including the expected timelines for the RE's response should be clearly defined.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44. REs shall adhere to extant instructions</w:t>
      </w:r>
      <w:hyperlink r:id="rId93" w:anchor="F4" w:history="1">
        <w:r w:rsidRPr="00BE0E8C">
          <w:rPr>
            <w:rFonts w:ascii="Times New Roman" w:eastAsia="Times New Roman" w:hAnsi="Times New Roman" w:cs="Times New Roman"/>
            <w:color w:val="0000FF"/>
            <w:sz w:val="24"/>
            <w:szCs w:val="24"/>
            <w:u w:val="single"/>
            <w:vertAlign w:val="superscript"/>
            <w:lang w:eastAsia="en-IN"/>
          </w:rPr>
          <w:t>4</w:t>
        </w:r>
      </w:hyperlink>
      <w:r w:rsidRPr="00BE0E8C">
        <w:rPr>
          <w:rFonts w:ascii="Times New Roman" w:eastAsia="Times New Roman" w:hAnsi="Times New Roman" w:cs="Times New Roman"/>
          <w:color w:val="000000"/>
          <w:sz w:val="24"/>
          <w:szCs w:val="24"/>
          <w:lang w:eastAsia="en-IN"/>
        </w:rPr>
        <w:t>, updated from time to time, to put in place system/s for online dispute resolution for resolving disputes and grievances of customers pertaining to digital payments.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45. REs shall educate customers about the need to maintain the physical and logical security of their devices accessing digital payment products and services including recommending secure/ regular installation of operating system and application updates, downloading applications only from authorised sources, having anti-malware/ anti-virus applications on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46. REs shall ensure that its customers are provided information about the risks, benefits and liabilities of using digital payment products and its related services before they subscribe to them. Customers shall also be informed clearly and precisely on their rights, obligations and responsibilities on matters relating to digital payments, and, any problems that may arise from its service unavailability, processing errors and security breaches. The terms and conditions including customer privacy and security policy applying to digital payment products and services shall be readily available to customers within the product. All digital channels are to be offered on express willingness of customers and shall not be bundled without their knowledge.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47. Whenever new operating features or functions, particularly those relating to security, integrity and authentication, are introduced to online delivery channels, clear and effective communication followed by sufficient instructions to properly utilise such new features should be provided to the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48. REs may continuously create public awareness on the types of threats and attacks used against the consumers while using digital payment products and precautionary measures to safeguard against the same. Customers shall be cautioned against commonly known threats in recent times like phishing, vishing, reverse-phishing, remote access of mobile devices and educated to secure and safeguard their account details, credentials, PIN, card details, devices, etc.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49. REs shall provide digital payment products and services, to a customer only at her/ his option based on specific written or authenticated electronic requisition along with a positive acknowledgement of the terms and conditions.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50. REs should provide a mechanism on their mobile and internet banking application for their customers to, with necessary authentication, identify/ mark a transaction as fraudulent for seamless and immediate notification to his RE. On such notification by the customer, the REs may endeavour to build the capability for seamless/ instant reporting of fraudulent transactions to the corresponding beneficiary/ counterparty’s RE; vice-versa have mechanism to receive such fraudulent transactions reported from other </w:t>
      </w:r>
      <w:proofErr w:type="spellStart"/>
      <w:r w:rsidRPr="00BE0E8C">
        <w:rPr>
          <w:rFonts w:ascii="Times New Roman" w:eastAsia="Times New Roman" w:hAnsi="Times New Roman" w:cs="Times New Roman"/>
          <w:color w:val="000000"/>
          <w:sz w:val="24"/>
          <w:szCs w:val="24"/>
          <w:lang w:eastAsia="en-IN"/>
        </w:rPr>
        <w:t>REs.</w:t>
      </w:r>
      <w:proofErr w:type="spellEnd"/>
      <w:r w:rsidRPr="00BE0E8C">
        <w:rPr>
          <w:rFonts w:ascii="Times New Roman" w:eastAsia="Times New Roman" w:hAnsi="Times New Roman" w:cs="Times New Roman"/>
          <w:color w:val="000000"/>
          <w:sz w:val="24"/>
          <w:szCs w:val="24"/>
          <w:lang w:eastAsia="en-IN"/>
        </w:rPr>
        <w:t xml:space="preserve"> The objective of this mechanism is to accelerate early detection and enable the banking/ payment system to trace the transaction trail and mitigate the loss to the defrauded customer at the earliest possible time.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Chapter III</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INTERNET BANKING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94"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REs offering/ intending to offer internet banking facility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51. Internet banking websites are vulnerable to authentication related brute force attacks/ application layer Denial of Service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Based on the RE’s individual risk/ vulnerability assessment on authentication-related attacks such as brute force/ </w:t>
      </w:r>
      <w:proofErr w:type="spellStart"/>
      <w:r w:rsidRPr="00BE0E8C">
        <w:rPr>
          <w:rFonts w:ascii="Times New Roman" w:eastAsia="Times New Roman" w:hAnsi="Times New Roman" w:cs="Times New Roman"/>
          <w:color w:val="000000"/>
          <w:sz w:val="24"/>
          <w:szCs w:val="24"/>
          <w:lang w:eastAsia="en-IN"/>
        </w:rPr>
        <w:t>DoS</w:t>
      </w:r>
      <w:proofErr w:type="spellEnd"/>
      <w:r w:rsidRPr="00BE0E8C">
        <w:rPr>
          <w:rFonts w:ascii="Times New Roman" w:eastAsia="Times New Roman" w:hAnsi="Times New Roman" w:cs="Times New Roman"/>
          <w:color w:val="000000"/>
          <w:sz w:val="24"/>
          <w:szCs w:val="24"/>
          <w:lang w:eastAsia="en-IN"/>
        </w:rPr>
        <w:t xml:space="preserve"> attacks, REs shall implement additional levels of authentication to internet banking website such as adaptive authentication, strong CAPTCHA (preferably with anti-bot features) with server-side validation, etc., in order to plug this vulnerability and prevent its exploitation. Appropriate measures shall be taken to prevent DNS cache poisoning attacks and for secure handling of cookies. Virtual keyboard option should be made available.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52. An online session shall be automatically terminated after a fixed period of inactivity.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53. Secure delivery of password for login purpose shall be ensured. The password generated and dispatched by the RE should be valid for a limited period from the date of its creation. If the password is generated and dispatched by the RE, then, the user shall be compulsorily required to change the password, on the first login.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54. When the internet banking application is accessed through external websites (</w:t>
      </w:r>
      <w:proofErr w:type="spellStart"/>
      <w:r w:rsidRPr="00BE0E8C">
        <w:rPr>
          <w:rFonts w:ascii="Times New Roman" w:eastAsia="Times New Roman" w:hAnsi="Times New Roman" w:cs="Times New Roman"/>
          <w:color w:val="000000"/>
          <w:sz w:val="24"/>
          <w:szCs w:val="24"/>
          <w:lang w:eastAsia="en-IN"/>
        </w:rPr>
        <w:t>eg</w:t>
      </w:r>
      <w:proofErr w:type="spellEnd"/>
      <w:r w:rsidRPr="00BE0E8C">
        <w:rPr>
          <w:rFonts w:ascii="Times New Roman" w:eastAsia="Times New Roman" w:hAnsi="Times New Roman" w:cs="Times New Roman"/>
          <w:color w:val="000000"/>
          <w:sz w:val="24"/>
          <w:szCs w:val="24"/>
          <w:lang w:eastAsia="en-IN"/>
        </w:rPr>
        <w:t>: in case of payment of taxes, e-commerce transactions, etc.), the procedure for authentication and the appearance/ look and feel of the RE’s internet banking site should be made uniform as far as possible.</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Chapter IV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MOBILE PAYMENTS APPLICATION SECURITY CONTROLS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95"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offer mobile banking/ mobile payments facility to their customers through mobile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55. On detection of any anomalies or exceptions for which the mobile application was not programmed, the customer shall be directed to remove the current copy/ instance of the application and proceed with installation of a new copy/ instance of the application. REs shall be able to verify the version of the mobile application before the transactions are enabled.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56. Specific Controls for mobile applications include:</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policy enforcement (allowing app installation/ execution after baseline requirements are met);</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Application secure download/ install;</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Deactivating older application versions in a phased but time bound manner (not exceeding six months from the date of release of newer version) i.e., maintaining only one version (excluding the overlap period while phasing out older version) of the mobile application on a platform/ operating system;</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Storage of customer data;</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Device or application encryption;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Ensuring minimal data collection/ app permissions;</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Application sandbox/ containerisation;</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Ability to identify remote access applications (to the extent possible) and prohibit login access to the mobile application, as a matter of precaution; and</w:t>
      </w:r>
    </w:p>
    <w:p w:rsidR="00F74A17" w:rsidRPr="00BE0E8C" w:rsidRDefault="00F74A17" w:rsidP="00F74A17">
      <w:pPr>
        <w:pStyle w:val="ListParagraph"/>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Code obfuscation.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57. REs may consider to perform validation on the security and compatibility condition of the device/ operating system and the mobile application to ensure that activities relating to the account are put through the mobile application in a safe and secure manner.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58. REs may explore the feasibility of implementing a code that checks if the device is rooted/ jailbroken prior to the installation of the mobile application and disallow the mobile application to install/ function if the phone is rooted/ jailbroken.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59. Checksum of current active version of application shall be hosted on public platform so that users can verify the same.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60. REs shall ensure device binding of mobile application</w:t>
      </w:r>
      <w:hyperlink r:id="rId96" w:anchor="F5" w:history="1">
        <w:r w:rsidRPr="00BE0E8C">
          <w:rPr>
            <w:rFonts w:ascii="Times New Roman" w:eastAsia="Times New Roman" w:hAnsi="Times New Roman" w:cs="Times New Roman"/>
            <w:color w:val="0000FF"/>
            <w:sz w:val="24"/>
            <w:szCs w:val="24"/>
            <w:u w:val="single"/>
            <w:vertAlign w:val="superscript"/>
            <w:lang w:eastAsia="en-IN"/>
          </w:rPr>
          <w:t>5</w:t>
        </w:r>
      </w:hyperlink>
      <w:r w:rsidRPr="00BE0E8C">
        <w:rPr>
          <w:rFonts w:ascii="Times New Roman" w:eastAsia="Times New Roman" w:hAnsi="Times New Roman" w:cs="Times New Roman"/>
          <w:color w:val="000000"/>
          <w:sz w:val="24"/>
          <w:szCs w:val="24"/>
          <w:lang w:eastAsia="en-IN"/>
        </w:rPr>
        <w: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61. Considering that the additional factor of authentication and mobile application may reside on the same mobile device in the case of mobile banking, mobile payments, REs may consider implementing alternatives to SMS-based OTP authentication mechanisms.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62. The mobile application should require re-authentication whenever the device or application remains unused for a designated period and each time the user launches the application. Applications must be able to identify new network connections or connections from unsecured networks like unsecured Wi-Fi connections and must implement appropriate authentication/ checks/ measures to perform transactions under those circumstances.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63. The mobile application should not store/ retain sensitive personal/ consumer authentication information such as user IDs, passwords, keys, hashes, hard coded references on the device and the application should securely wipe any sensitive customer information from memory when the customer/ user exits the application.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64. REs shall ensure that their mobile application limit the writing of sensitive information into ‘temp’ files. The sensitive information written in such files must be suitably encrypted/ masked/ hashed and stored securely.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65. REs may consider designing anti-malware capabilities into their mobile applications.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66. REs shall ensure that the usage of raw (visible) SQL queries in mobile applications to fetch or update data from databases is avoided. Mobile applications should be secured from SQL injection type of vulnerabilities. Sensitive information should be written to the database in an encrypted form. Web content, as part of the mobile application’s layout, should not be loaded if errors are detected during SSL/ TLS negotiation. Certificate errors on account of the certificate not being signed by a recognised certificate authority; expiry/ revocation of the certificate must be displayed to the user.</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lastRenderedPageBreak/>
        <w:t>Chapter V</w:t>
      </w:r>
    </w:p>
    <w:p w:rsidR="00F74A17" w:rsidRPr="00BE0E8C" w:rsidRDefault="00F74A17" w:rsidP="00F74A17">
      <w:pPr>
        <w:shd w:val="clear" w:color="auto" w:fill="FFFFFF"/>
        <w:spacing w:after="0" w:line="240" w:lineRule="auto"/>
        <w:jc w:val="center"/>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CARD PAYMENTS SECURITY</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addition to the controls prescribed in </w:t>
      </w:r>
      <w:hyperlink r:id="rId97" w:anchor="6" w:history="1">
        <w:r w:rsidRPr="00BE0E8C">
          <w:rPr>
            <w:rFonts w:ascii="Times New Roman" w:eastAsia="Times New Roman" w:hAnsi="Times New Roman" w:cs="Times New Roman"/>
            <w:color w:val="0000FF"/>
            <w:sz w:val="24"/>
            <w:szCs w:val="24"/>
            <w:u w:val="single"/>
            <w:lang w:eastAsia="en-IN"/>
          </w:rPr>
          <w:t>Chapter II</w:t>
        </w:r>
      </w:hyperlink>
      <w:r w:rsidRPr="00BE0E8C">
        <w:rPr>
          <w:rFonts w:ascii="Times New Roman" w:eastAsia="Times New Roman" w:hAnsi="Times New Roman" w:cs="Times New Roman"/>
          <w:color w:val="000000"/>
          <w:sz w:val="24"/>
          <w:szCs w:val="24"/>
          <w:lang w:eastAsia="en-IN"/>
        </w:rPr>
        <w:t>, the following instructions are applicable to the REs offering/ intending to issue cards (credit/ debit/ prepaid) (physical or virtual) to their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67. REs shall follow various payment card standards (over and above PCI-DSS and PA-DSS</w:t>
      </w:r>
      <w:hyperlink r:id="rId98" w:anchor="F6" w:history="1">
        <w:r w:rsidRPr="00BE0E8C">
          <w:rPr>
            <w:rFonts w:ascii="Times New Roman" w:eastAsia="Times New Roman" w:hAnsi="Times New Roman" w:cs="Times New Roman"/>
            <w:color w:val="0000FF"/>
            <w:sz w:val="24"/>
            <w:szCs w:val="24"/>
            <w:u w:val="single"/>
            <w:vertAlign w:val="superscript"/>
            <w:lang w:eastAsia="en-IN"/>
          </w:rPr>
          <w:t>6</w:t>
        </w:r>
      </w:hyperlink>
      <w:r w:rsidRPr="00BE0E8C">
        <w:rPr>
          <w:rFonts w:ascii="Times New Roman" w:eastAsia="Times New Roman" w:hAnsi="Times New Roman" w:cs="Times New Roman"/>
          <w:color w:val="000000"/>
          <w:sz w:val="24"/>
          <w:szCs w:val="24"/>
          <w:lang w:eastAsia="en-IN"/>
        </w:rPr>
        <w:t>) as per Payment Card Industry (PCI) prescriptions for comprehensive payment card security as per applicability/ readiness of updated versions of the standards such as –</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PCI-PIN (secure management, processing, and transmission of personal identification number (PIN) data);</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PCI-PTS (security approval framework addresses the logical and/ or physical protection of cardholder and other sensitive data at point of interaction (POI) devices and hardware security modules (HSMs);</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PCI-HSM (securing cardholder-authentication applications and processes including key generation, key injection, PIN verification, secure encryption algorithm, etc.); and</w:t>
      </w:r>
    </w:p>
    <w:p w:rsidR="00F74A17" w:rsidRPr="00BE0E8C" w:rsidRDefault="00F74A17" w:rsidP="00F74A17">
      <w:pPr>
        <w:pStyle w:val="ListParagraph"/>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PCI-P2PE (security standard that requires payment card information to be encrypted instantly upon its initial swipe and then securely transferred directly to the payment processor).</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68. REs should ensure that terminals installed at the merchants for capturing card details for payments or otherwise are validated against the PCI-P2PE program to use PCI-approved P2PE solutions; </w:t>
      </w:r>
      <w:proofErr w:type="spellStart"/>
      <w:r w:rsidRPr="00BE0E8C">
        <w:rPr>
          <w:rFonts w:ascii="Times New Roman" w:eastAsia="Times New Roman" w:hAnsi="Times New Roman" w:cs="Times New Roman"/>
          <w:color w:val="000000"/>
          <w:sz w:val="24"/>
          <w:szCs w:val="24"/>
          <w:lang w:eastAsia="en-IN"/>
        </w:rPr>
        <w:t>PoS</w:t>
      </w:r>
      <w:proofErr w:type="spellEnd"/>
      <w:r w:rsidRPr="00BE0E8C">
        <w:rPr>
          <w:rFonts w:ascii="Times New Roman" w:eastAsia="Times New Roman" w:hAnsi="Times New Roman" w:cs="Times New Roman"/>
          <w:color w:val="000000"/>
          <w:sz w:val="24"/>
          <w:szCs w:val="24"/>
          <w:lang w:eastAsia="en-IN"/>
        </w:rPr>
        <w:t xml:space="preserve"> terminals with PIN entry installed at the merchants for capturing card payments (including the double swipe terminals) are approved by the PCI-PTS program.</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69. Acquirers shall secure their card payment infrastructure (Unique Key Per Terminal – UKPT or Derived Unique Key Per Transaction – DUKPT/ Terminal Line Encryption – TLE).</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70. The security controls to be implemented at HSM are:</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HSMs should have logging enabled, the logs must themselves be tamper proof;</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HSM can become a single point of failure. This needs to be mitigated by ‘clustering’ for high availability and ensure secure backups;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Access to the HSM should be controlled through Access Control Lists (ACLs);</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Separate ACLs should be maintained for each individual application to ensure application level isolation;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access to HSM should be managed and monitored using a robust Privileged Identity and Access Management solution;</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Decryption and validation of keys, PIN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PIN generation and printing should be directly at system connected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CVV generation and validation should be done at HSM;</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Ensure HSM is implemented with secure PIN block format with controls to disable outputting PIN block in weaker format;</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Secure key management for HSMs (such as LMKs, etc.); and</w:t>
      </w:r>
    </w:p>
    <w:p w:rsidR="00F74A17" w:rsidRPr="00BE0E8C" w:rsidRDefault="00F74A17" w:rsidP="00F74A17">
      <w:pPr>
        <w:pStyle w:val="ListParagraph"/>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Security of the physical keys of the HSM device should be properly maintained.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71. REs shall implement the following for improving the security posture of the ATM:</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Implement security measures such as BIOS password, disabling USB ports, disabling auto-run facility, applying the latest patches of operating system and other </w:t>
      </w:r>
      <w:proofErr w:type="spellStart"/>
      <w:r w:rsidRPr="00BE0E8C">
        <w:rPr>
          <w:rFonts w:ascii="Times New Roman" w:eastAsia="Times New Roman" w:hAnsi="Times New Roman" w:cs="Times New Roman"/>
          <w:color w:val="000000"/>
          <w:sz w:val="24"/>
          <w:szCs w:val="24"/>
          <w:lang w:eastAsia="en-IN"/>
        </w:rPr>
        <w:t>softwares</w:t>
      </w:r>
      <w:proofErr w:type="spellEnd"/>
      <w:r w:rsidRPr="00BE0E8C">
        <w:rPr>
          <w:rFonts w:ascii="Times New Roman" w:eastAsia="Times New Roman" w:hAnsi="Times New Roman" w:cs="Times New Roman"/>
          <w:color w:val="000000"/>
          <w:sz w:val="24"/>
          <w:szCs w:val="24"/>
          <w:lang w:eastAsia="en-IN"/>
        </w:rPr>
        <w:t xml:space="preserve">, terminal security solution, time-based admin access, </w:t>
      </w:r>
      <w:proofErr w:type="spellStart"/>
      <w:r w:rsidRPr="00BE0E8C">
        <w:rPr>
          <w:rFonts w:ascii="Times New Roman" w:eastAsia="Times New Roman" w:hAnsi="Times New Roman" w:cs="Times New Roman"/>
          <w:color w:val="000000"/>
          <w:sz w:val="24"/>
          <w:szCs w:val="24"/>
          <w:lang w:eastAsia="en-IN"/>
        </w:rPr>
        <w:t>etc</w:t>
      </w:r>
      <w:proofErr w:type="spellEnd"/>
      <w:r w:rsidRPr="00BE0E8C">
        <w:rPr>
          <w:rFonts w:ascii="Times New Roman" w:eastAsia="Times New Roman" w:hAnsi="Times New Roman" w:cs="Times New Roman"/>
          <w:color w:val="000000"/>
          <w:sz w:val="24"/>
          <w:szCs w:val="24"/>
          <w:lang w:eastAsia="en-IN"/>
        </w:rPr>
        <w:t>;</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Implement anti-skimming and whitelisting solution; and</w:t>
      </w:r>
    </w:p>
    <w:p w:rsidR="00F74A17" w:rsidRPr="00BE0E8C" w:rsidRDefault="00F74A17" w:rsidP="00F74A17">
      <w:pPr>
        <w:pStyle w:val="ListParagraph"/>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Upgrade all the ATMs with supported versions of operating system. Use of ATMs that have unsupported operating systems shall be prohibited.</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72. REs shall ensure robust surveillance/ monitoring of card transactions (especially overseas cash withdrawals) and setting up of rules and limits commensurate with their risk appetites. REs shall take up with the card network and/ or ATM network as the case may be, to put in place transaction limits at Card, BIN as well as at the RE level. Such limits shall be mandatorily set at the card network switch itself. Limits could be mandated both for domestic as well as international transactions separately. REs shall put in place transaction control mechanisms with necessary caps (restrictions on transactions), if any of the limits set as per the above requirement is breached. A periodic review mechanism of such limits set as per the risk appetite of the RE shall be put in place as per the Board-approved policy. REs shall institute a mechanism to monitor breaches, if any, on a 24x7 basis, including weekends, long holidays and put in place a robust incident response mechanism to mitigate the fraud loss, on account of suspicious transactions, if any. REs shall ensure that card details of the customers are not stored in plain text at the RE and its vendor(s) locations, systems and applications. REs shall also ensure that the processing of card details in readable format is performed in a secure manner to strictly avoid data leakage of sensitive customer information.</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73. REs that use card data scanning tools to identify unencrypted (clear text) payments card data in their ecosystem especially during audits shall adhere to the following safety measures: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Any tool (procured by/ from a third-party) for the purpose of scanning of unencrypted card data should first be tested in a test environment to understand the scope and impact of the tool’s capabilities;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scanning tool should be installed only in the RE's premises on their devices;</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Card data scanning should not be done remotely;</w:t>
      </w:r>
    </w:p>
    <w:p w:rsidR="00F74A17" w:rsidRPr="00BE0E8C" w:rsidRDefault="00F74A17" w:rsidP="00F74A17">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discovered data, if any, must preferably reside in the scanning tool. Exportable card data must be appropriately masked. (No data, even masked, must be taken out of the RE’s premises/ infrastructure); and</w:t>
      </w:r>
    </w:p>
    <w:p w:rsidR="00F74A17" w:rsidRPr="00BE0E8C" w:rsidRDefault="00F74A17" w:rsidP="00F74A17">
      <w:pPr>
        <w:numPr>
          <w:ilvl w:val="0"/>
          <w:numId w:val="25"/>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Limited access to service providers to conduct the scan or analyse the data, if at all, must be provided only on the RE’s devices.</w:t>
      </w:r>
    </w:p>
    <w:p w:rsidR="00F74A17" w:rsidRPr="00BE0E8C" w:rsidRDefault="00F74A17"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p>
    <w:p w:rsidR="00F74A17" w:rsidRPr="00BE0E8C" w:rsidRDefault="00562D95" w:rsidP="00F74A17">
      <w:pPr>
        <w:pBdr>
          <w:bottom w:val="single" w:sz="12" w:space="1" w:color="auto"/>
        </w:pBd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hyperlink r:id="rId99" w:history="1">
        <w:r w:rsidR="00F74A17" w:rsidRPr="00BE0E8C">
          <w:rPr>
            <w:rStyle w:val="Hyperlink"/>
            <w:rFonts w:ascii="Times New Roman" w:eastAsia="Times New Roman" w:hAnsi="Times New Roman" w:cs="Times New Roman"/>
            <w:sz w:val="24"/>
            <w:szCs w:val="24"/>
            <w:lang w:eastAsia="en-IN"/>
          </w:rPr>
          <w:t>https://www.rbi.org.in/Scripts/NotificationUser.aspx?Id=12032&amp;Mode=0</w:t>
        </w:r>
      </w:hyperlink>
      <w:r w:rsidR="00F74A17" w:rsidRPr="00BE0E8C">
        <w:rPr>
          <w:rFonts w:ascii="Times New Roman" w:eastAsia="Times New Roman" w:hAnsi="Times New Roman" w:cs="Times New Roman"/>
          <w:color w:val="000000"/>
          <w:sz w:val="24"/>
          <w:szCs w:val="24"/>
          <w:lang w:eastAsia="en-IN"/>
        </w:rPr>
        <w:t xml:space="preserve"> </w:t>
      </w:r>
    </w:p>
    <w:p w:rsidR="00F74A17" w:rsidRDefault="00F74A17" w:rsidP="00F74A17">
      <w:pPr>
        <w:pStyle w:val="NormalWeb"/>
        <w:shd w:val="clear" w:color="auto" w:fill="FFFFFF"/>
        <w:jc w:val="both"/>
        <w:rPr>
          <w:color w:val="000000"/>
          <w:sz w:val="22"/>
          <w:szCs w:val="20"/>
        </w:rPr>
      </w:pPr>
    </w:p>
    <w:p w:rsidR="00F74A17" w:rsidRPr="00BE0E8C" w:rsidRDefault="00F74A17" w:rsidP="00F74A17">
      <w:pPr>
        <w:pStyle w:val="NormalWeb"/>
        <w:shd w:val="clear" w:color="auto" w:fill="FFFFFF"/>
        <w:spacing w:before="0" w:beforeAutospacing="0" w:after="0" w:afterAutospacing="0"/>
        <w:jc w:val="both"/>
        <w:rPr>
          <w:b/>
          <w:bCs/>
          <w:color w:val="000000"/>
        </w:rPr>
      </w:pPr>
      <w:r w:rsidRPr="00BE0E8C">
        <w:rPr>
          <w:b/>
          <w:bCs/>
          <w:color w:val="000000"/>
        </w:rPr>
        <w:t>Capital and provisioning requirements for exposures to entities with Unhedged Foreign Currency Exposure</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F74A17" w:rsidRPr="00BE0E8C" w:rsidRDefault="00F74A17" w:rsidP="00F74A17">
      <w:pPr>
        <w:spacing w:after="0" w:line="240" w:lineRule="auto"/>
        <w:jc w:val="both"/>
        <w:rPr>
          <w:rFonts w:ascii="Times New Roman" w:hAnsi="Times New Roman" w:cs="Times New Roman"/>
          <w:color w:val="000000"/>
          <w:sz w:val="24"/>
          <w:szCs w:val="24"/>
          <w:shd w:val="clear" w:color="auto" w:fill="FFFFFF"/>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Please refer to our </w:t>
      </w:r>
      <w:hyperlink r:id="rId100" w:tgtFrame="_blank" w:history="1">
        <w:r w:rsidRPr="00BE0E8C">
          <w:rPr>
            <w:rStyle w:val="Hyperlink"/>
            <w:u w:val="none"/>
          </w:rPr>
          <w:t>circular DBOD.No.BP.BC.116/21.06.200/2013-14 dated June 3, 2014</w:t>
        </w:r>
      </w:hyperlink>
      <w:r w:rsidRPr="00BE0E8C">
        <w:rPr>
          <w:color w:val="000000"/>
        </w:rPr>
        <w:t> on capital and provisioning requirements for exposures to entities with Unhedged Foreign Currency Exposure (UFCE).</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 xml:space="preserve">2. The guidelines mandate that information on UFCE may be obtained by banks from entities on a quarterly basis, on self-certification basis, and preferably should be internally audited by </w:t>
      </w:r>
      <w:r w:rsidRPr="00BE0E8C">
        <w:rPr>
          <w:color w:val="000000"/>
        </w:rPr>
        <w:lastRenderedPageBreak/>
        <w:t>the entity concerned. We have received representation from banks expressing their inability in obtaining UFCE certificates from listed entities for the latest quarter due to restrictions on disclosure of such information prior to finalisation of accounts.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Pr="00BE0E8C" w:rsidRDefault="00F74A17" w:rsidP="00F74A17">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F74A17" w:rsidRPr="00BE0E8C" w:rsidRDefault="00F74A17" w:rsidP="00F74A17">
      <w:pPr>
        <w:pStyle w:val="NormalWeb"/>
        <w:shd w:val="clear" w:color="auto" w:fill="FFFFFF"/>
        <w:spacing w:before="0" w:beforeAutospacing="0" w:after="0" w:afterAutospacing="0"/>
        <w:jc w:val="both"/>
        <w:rPr>
          <w:color w:val="000000"/>
        </w:rPr>
      </w:pPr>
    </w:p>
    <w:p w:rsidR="00F74A17" w:rsidRDefault="00F74A17" w:rsidP="00F74A17">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AB0AB3" w:rsidRDefault="00AB0AB3" w:rsidP="00F74A17">
      <w:pPr>
        <w:pStyle w:val="NormalWeb"/>
        <w:shd w:val="clear" w:color="auto" w:fill="FFFFFF"/>
        <w:spacing w:before="0" w:beforeAutospacing="0" w:after="0" w:afterAutospacing="0"/>
        <w:jc w:val="both"/>
        <w:rPr>
          <w:color w:val="000000"/>
        </w:rPr>
      </w:pPr>
    </w:p>
    <w:p w:rsidR="00AB0AB3" w:rsidRPr="00BE0E8C" w:rsidRDefault="00AB0AB3" w:rsidP="00F74A17">
      <w:pPr>
        <w:pStyle w:val="NormalWeb"/>
        <w:shd w:val="clear" w:color="auto" w:fill="FFFFFF"/>
        <w:spacing w:before="0" w:beforeAutospacing="0" w:after="0" w:afterAutospacing="0"/>
        <w:jc w:val="both"/>
        <w:rPr>
          <w:color w:val="000000"/>
        </w:rPr>
      </w:pPr>
    </w:p>
    <w:p w:rsidR="00F74A17" w:rsidRPr="00BE0E8C" w:rsidRDefault="00F74A17" w:rsidP="00F74A1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F74A17" w:rsidRPr="00BE0E8C" w:rsidRDefault="00F74A17" w:rsidP="00F74A17">
      <w:pPr>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101"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102"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may allow resident individuals to make remittances under LRS to IFSCs in India, subject to the following conditions:</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Resident Individuals may also open a non interest bearing Foreign Currency Account (FCA) in IFSCs, for making the above permissible investments under LRS. Any funds lying idle in the account for a period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15 days from the date of its receipt into the account shall be immediately repatriated to domestic INR account of the investor in India.</w:t>
      </w:r>
    </w:p>
    <w:p w:rsidR="00F74A17" w:rsidRPr="00BE0E8C" w:rsidRDefault="00F74A17" w:rsidP="00F74A17">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4. </w:t>
      </w:r>
      <w:hyperlink r:id="rId103"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xml:space="preserve"> is being updated to reflect the above changes. AD Category - I </w:t>
      </w:r>
      <w:proofErr w:type="gramStart"/>
      <w:r w:rsidRPr="00BE0E8C">
        <w:rPr>
          <w:rFonts w:ascii="Times New Roman" w:eastAsia="Times New Roman" w:hAnsi="Times New Roman" w:cs="Times New Roman"/>
          <w:color w:val="000000"/>
          <w:sz w:val="24"/>
          <w:szCs w:val="24"/>
          <w:lang w:eastAsia="en-IN"/>
        </w:rPr>
        <w:t>banks</w:t>
      </w:r>
      <w:proofErr w:type="gramEnd"/>
      <w:r w:rsidRPr="00BE0E8C">
        <w:rPr>
          <w:rFonts w:ascii="Times New Roman" w:eastAsia="Times New Roman" w:hAnsi="Times New Roman" w:cs="Times New Roman"/>
          <w:color w:val="000000"/>
          <w:sz w:val="24"/>
          <w:szCs w:val="24"/>
          <w:lang w:eastAsia="en-IN"/>
        </w:rPr>
        <w:t xml:space="preserve"> should bring the contents of this circular to the notice of their constituents and customers.</w:t>
      </w:r>
    </w:p>
    <w:p w:rsidR="00F74A17" w:rsidRPr="00BE0E8C" w:rsidRDefault="00F74A17" w:rsidP="00F74A1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74A17" w:rsidRDefault="00F74A1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104"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E03DB7" w:rsidRPr="00BE0E8C" w:rsidRDefault="00E03DB7" w:rsidP="00E03DB7">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Rupee bonds issued by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in India which are:</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E03DB7" w:rsidRPr="00BE0E8C" w:rsidRDefault="00E03DB7" w:rsidP="00E03DB7">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E03DB7" w:rsidRPr="00BE0E8C" w:rsidRDefault="00E03DB7" w:rsidP="00E03DB7">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 AD Cat-I banks shall maintain a separate account in the name of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outside India for the purpose of posting and collecting cash margin in India, and transactions incidental thereto.</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6. The directions contained in this circular have been issued under Sections 10(4) and 11(1) of the Foreign Exchange Management Act, 1999 (42 of 1999) and are without prejudice to permissions / approvals, if any, required under any other law.</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Basel III Framework on Liquidity Standards – Net Stable Funding Ratio (NSFR)</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 xml:space="preserve">All Commercial Banks (excluding Regional Rural </w:t>
      </w:r>
      <w:proofErr w:type="spellStart"/>
      <w:proofErr w:type="gramStart"/>
      <w:r w:rsidRPr="00BE0E8C">
        <w:rPr>
          <w:rFonts w:ascii="Times New Roman" w:eastAsia="Times New Roman" w:hAnsi="Times New Roman" w:cs="Times New Roman"/>
          <w:i/>
          <w:color w:val="000000"/>
          <w:sz w:val="24"/>
          <w:szCs w:val="24"/>
          <w:lang w:eastAsia="en-IN"/>
        </w:rPr>
        <w:t>Banks,Local</w:t>
      </w:r>
      <w:proofErr w:type="spellEnd"/>
      <w:proofErr w:type="gramEnd"/>
      <w:r w:rsidRPr="00BE0E8C">
        <w:rPr>
          <w:rFonts w:ascii="Times New Roman" w:eastAsia="Times New Roman" w:hAnsi="Times New Roman" w:cs="Times New Roman"/>
          <w:i/>
          <w:color w:val="000000"/>
          <w:sz w:val="24"/>
          <w:szCs w:val="24"/>
          <w:lang w:eastAsia="en-IN"/>
        </w:rPr>
        <w:t xml:space="preserve"> Area Banks and Payments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05" w:tgtFrame="_blank" w:history="1">
        <w:r w:rsidRPr="00BE0E8C">
          <w:rPr>
            <w:rStyle w:val="Hyperlink"/>
            <w:u w:val="none"/>
          </w:rPr>
          <w:t>circular DBR.BP.BC.No.106/21.04.098/2017-18 dated May 17, 2018</w:t>
        </w:r>
      </w:hyperlink>
      <w:r w:rsidRPr="00BE0E8C">
        <w:rPr>
          <w:color w:val="000000"/>
        </w:rPr>
        <w:t> on Basel III Framework on Liquidity Standards - Net Stable Funding Ratio (NSFR)-Final Guidelines (‘NSFR Guidelines’) and </w:t>
      </w:r>
      <w:hyperlink r:id="rId106" w:tgtFrame="_blank" w:history="1">
        <w:r w:rsidRPr="00BE0E8C">
          <w:rPr>
            <w:rStyle w:val="Hyperlink"/>
            <w:u w:val="none"/>
          </w:rPr>
          <w:t>circular DOR.BP.BC.No.16/21.04.098/2020-21 dated September 29, 2020</w:t>
        </w:r>
      </w:hyperlink>
      <w:r w:rsidRPr="00BE0E8C">
        <w:rPr>
          <w:color w:val="000000"/>
        </w:rPr>
        <w:t> deferring the implementation of the said guidelines till April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ongoing stress on account of COVID-19, it has been decided to defer the implementation of NSFR guidelines by a further period of six months. Accordingly, the NSFR Guidelines shall come into effect from October 1, 2021.</w:t>
      </w:r>
    </w:p>
    <w:p w:rsid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E03DB7"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E2BDE" w:rsidRDefault="002E2BDE"/>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SLR holdings in HTM category</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RBI/2020-21/94 DOR.No.MRG.BC.39/21.04.141/2020-21</w:t>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Commercial Banks</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paragraph 4 of </w:t>
      </w:r>
      <w:hyperlink r:id="rId107" w:tgtFrame="_blank" w:history="1">
        <w:r w:rsidRPr="00BE0E8C">
          <w:rPr>
            <w:rFonts w:ascii="Times New Roman" w:eastAsia="Times New Roman" w:hAnsi="Times New Roman" w:cs="Times New Roman"/>
            <w:color w:val="0000FF"/>
            <w:sz w:val="24"/>
            <w:szCs w:val="24"/>
            <w:u w:val="single"/>
            <w:lang w:eastAsia="en-IN"/>
          </w:rPr>
          <w:t>Statement on Developmental and Regulatory Policies dated February 5, 2021</w:t>
        </w:r>
      </w:hyperlink>
      <w:r w:rsidRPr="00BE0E8C">
        <w:rPr>
          <w:rFonts w:ascii="Times New Roman" w:eastAsia="Times New Roman" w:hAnsi="Times New Roman" w:cs="Times New Roman"/>
          <w:color w:val="000000"/>
          <w:sz w:val="24"/>
          <w:szCs w:val="24"/>
          <w:lang w:eastAsia="en-IN"/>
        </w:rPr>
        <w:t> and our </w:t>
      </w:r>
      <w:hyperlink r:id="rId108" w:tgtFrame="_blank" w:history="1">
        <w:r w:rsidRPr="00BE0E8C">
          <w:rPr>
            <w:rFonts w:ascii="Times New Roman" w:eastAsia="Times New Roman" w:hAnsi="Times New Roman" w:cs="Times New Roman"/>
            <w:color w:val="0000FF"/>
            <w:sz w:val="24"/>
            <w:szCs w:val="24"/>
            <w:u w:val="single"/>
            <w:lang w:eastAsia="en-IN"/>
          </w:rPr>
          <w:t>circular DoR.No.BP.BC.22/21.04.141/2020-21 dated October 12, 2020</w:t>
        </w:r>
      </w:hyperlink>
      <w:r w:rsidRPr="00BE0E8C">
        <w:rPr>
          <w:rFonts w:ascii="Times New Roman" w:eastAsia="Times New Roman" w:hAnsi="Times New Roman" w:cs="Times New Roman"/>
          <w:color w:val="000000"/>
          <w:sz w:val="24"/>
          <w:szCs w:val="24"/>
          <w:lang w:eastAsia="en-IN"/>
        </w:rPr>
        <w:t> on the above subject.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Banks are permitted to exceed the limit of 25 per cent of the total investments under Held to Maturity (HTM) category provided: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excess comprises only of SLR securities; and</w:t>
      </w:r>
    </w:p>
    <w:p w:rsidR="00E03DB7" w:rsidRPr="00BE0E8C" w:rsidRDefault="00E03DB7" w:rsidP="00E03DB7">
      <w:pPr>
        <w:pStyle w:val="ListParagraph"/>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total SLR securities held under HTM category is not more than 19.5 per cent of Net Demand and Time Liabilities (NDTL) as on the last Friday of the second preceding fortnight.</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With respect to the limit stated in paragraph 2(b) above, banks have been granted a special dispensation of enhanced HTM limit of 22 per cent of NDTL, for SLR securities acquired between September 1, 2020 and March 31, 2021, until March 31, 2022. The enhanced limit was required to be restored in a phased manner over three quarters beginning with the quarter ending June 30,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 It has now been decided to extend the dispensation of enhanced HTM of 22 per cent to March 31, 2023 to include SLR securities acquired between April 1, 2021 and March 31, 2022. Thus, banks may exceed the limit specified in paragraph 2(b) above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22 per cent of NDTL </w:t>
      </w:r>
      <w:r w:rsidRPr="00BE0E8C">
        <w:rPr>
          <w:rFonts w:ascii="Times New Roman" w:eastAsia="Times New Roman" w:hAnsi="Times New Roman" w:cs="Times New Roman"/>
          <w:color w:val="000000"/>
          <w:sz w:val="24"/>
          <w:szCs w:val="24"/>
          <w:lang w:eastAsia="en-IN"/>
        </w:rPr>
        <w:lastRenderedPageBreak/>
        <w:t>(instead of 19.5 per cent of NDTL) till March 31, 2023, provided such excess is on account of SLR securities acquired between September 1, 2020 and March 31, 2022.</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schedule for restoring the enhanced HTM limit to 19.5 per cent of NDTL specified in paragraph 3 of the </w:t>
      </w:r>
      <w:hyperlink r:id="rId109" w:tgtFrame="_blank" w:history="1">
        <w:r w:rsidRPr="00BE0E8C">
          <w:rPr>
            <w:rFonts w:ascii="Times New Roman" w:eastAsia="Times New Roman" w:hAnsi="Times New Roman" w:cs="Times New Roman"/>
            <w:color w:val="0000FF"/>
            <w:sz w:val="24"/>
            <w:szCs w:val="24"/>
            <w:u w:val="single"/>
            <w:lang w:eastAsia="en-IN"/>
          </w:rPr>
          <w:t>circular dated October 12, 2020</w:t>
        </w:r>
      </w:hyperlink>
      <w:r w:rsidRPr="00BE0E8C">
        <w:rPr>
          <w:rFonts w:ascii="Times New Roman" w:eastAsia="Times New Roman" w:hAnsi="Times New Roman" w:cs="Times New Roman"/>
          <w:color w:val="000000"/>
          <w:sz w:val="24"/>
          <w:szCs w:val="24"/>
          <w:lang w:eastAsia="en-IN"/>
        </w:rPr>
        <w:t> referred to above is accordingly modified. The enhanced HTM limit shall be restored to 19.5 percent in a phased manner, beginning from the quarter ending June 30, 2023, i.e. the excess SLR securities acquired by banks during the period September 1, 2020 to March 31, 2022 shall be progressively reduced from the HTM category such that the total SLR securities under the HTM category as a percentage of the NDTL does not exceed:</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21.00 per cent as on June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20.00 per cent as on September 30, 2023</w:t>
      </w:r>
    </w:p>
    <w:p w:rsidR="00E03DB7" w:rsidRPr="00BE0E8C" w:rsidRDefault="00E03DB7" w:rsidP="00E03DB7">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19.50 per cent as on December 31, 2023</w:t>
      </w:r>
    </w:p>
    <w:p w:rsidR="00E03DB7" w:rsidRPr="00BE0E8C" w:rsidRDefault="00E03DB7" w:rsidP="00E03DB7">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E03DB7" w:rsidRDefault="00E03DB7" w:rsidP="00E03DB7">
      <w:pPr>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As per extant instructions, banks may shift investments to/from HTM with the approval of the Board of Directors once a year and such shifting will normally be allowed at the beginning of the accounting year. However, in order to enable banks to shift their excess SLR securities from the HTM category to available for sale (AFS)/ held for trading (HFT) to comply with the instructions as indicated in paragraph 5 above, it has been decided to allow such shifting of the excess securities during the quarter in which the HTM ceiling is brought down. This would be in addition to the shifting permitted at the beginning of the accounting year.</w:t>
      </w: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RBI/2020-21/93 </w:t>
      </w:r>
      <w:proofErr w:type="gramStart"/>
      <w:r w:rsidRPr="00BE0E8C">
        <w:rPr>
          <w:b/>
          <w:color w:val="000000"/>
        </w:rPr>
        <w:t>DOR.CAP.BC.No.</w:t>
      </w:r>
      <w:proofErr w:type="gramEnd"/>
      <w:r w:rsidRPr="00BE0E8C">
        <w:rPr>
          <w:b/>
          <w:color w:val="000000"/>
        </w:rPr>
        <w:t xml:space="preserve">34/21.06.201/2020-21 </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(Excluding Small Finance Banks, Payments Banks, RRBs and LABs)</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w:t>
      </w:r>
      <w:hyperlink r:id="rId110" w:tgtFrame="_blank" w:history="1">
        <w:r w:rsidRPr="00BE0E8C">
          <w:rPr>
            <w:rStyle w:val="Hyperlink"/>
            <w:u w:val="none"/>
          </w:rPr>
          <w:t>circular DOR.BP.BC.No.15/21.06.201/2020-21 dated September 29, 2020</w:t>
        </w:r>
      </w:hyperlink>
      <w:r w:rsidRPr="00BE0E8C">
        <w:rPr>
          <w:color w:val="000000"/>
        </w:rPr>
        <w:t> on ‘Basel III Capital Regulations- Review of transitional arrangements’.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view of the continuing stress on account of COVID-19 and in order to aid in the recovery process, it has been decided to defer the implementation of the last tranche of 0.625 per cent of the Capital Conservation Buffer (CCB) from April 1, 2021 to October 1, 2021. Accordingly, the minimum capital conservation ratios in para 15.2.2 of Part D ‘Capital Conservation Buffer Framework’ of </w:t>
      </w:r>
      <w:hyperlink r:id="rId111" w:tgtFrame="_blank" w:history="1">
        <w:r w:rsidRPr="00BE0E8C">
          <w:rPr>
            <w:rStyle w:val="Hyperlink"/>
            <w:u w:val="none"/>
          </w:rPr>
          <w:t>Master Circular, DBR.No.BP.BC.1/21.06.201/2015-16 dated July 1, 2015</w:t>
        </w:r>
      </w:hyperlink>
      <w:r w:rsidRPr="00BE0E8C">
        <w:rPr>
          <w:color w:val="000000"/>
        </w:rPr>
        <w:t> on ‘Basel III Capital Regulations’, shall continue to apply till the CCB attains the level of 2.5 per cent on October 1,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3. The pre-specified trigger for loss absorption through conversion / write-down of Additional Tier 1 instruments (Perpetual Non-Convertible Preference Shares and Perpetual Debt Instruments), shall remain at 5.5 per cent of risk weighted assets (RWAs) and will rise to 6.125 per cent of RWAs from October 1, 2021.</w:t>
      </w:r>
    </w:p>
    <w:p w:rsidR="00E03DB7" w:rsidRPr="00BE0E8C" w:rsidRDefault="00E03DB7" w:rsidP="00E03DB7">
      <w:pPr>
        <w:pStyle w:val="NormalWeb"/>
        <w:pBdr>
          <w:bottom w:val="single" w:sz="12" w:space="1" w:color="auto"/>
        </w:pBdr>
        <w:shd w:val="clear" w:color="auto" w:fill="FFFFFF"/>
        <w:spacing w:before="0" w:beforeAutospacing="0" w:after="0" w:afterAutospacing="0"/>
        <w:jc w:val="both"/>
        <w:rPr>
          <w:color w:val="000000"/>
        </w:rPr>
      </w:pPr>
    </w:p>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lastRenderedPageBreak/>
        <w:t xml:space="preserve">RBI/2020-21/91 </w:t>
      </w:r>
      <w:proofErr w:type="gramStart"/>
      <w:r w:rsidRPr="00BE0E8C">
        <w:rPr>
          <w:b/>
          <w:color w:val="000000"/>
        </w:rPr>
        <w:t>DOR.No.Ret.BC</w:t>
      </w:r>
      <w:proofErr w:type="gramEnd"/>
      <w:r w:rsidRPr="00BE0E8C">
        <w:rPr>
          <w:b/>
          <w:color w:val="000000"/>
        </w:rPr>
        <w:t>.36/12.01.001/2020-21</w:t>
      </w:r>
      <w:r w:rsidRPr="00BE0E8C">
        <w:rPr>
          <w:b/>
          <w:color w:val="000000"/>
        </w:rPr>
        <w:tab/>
      </w:r>
      <w:r w:rsidRPr="00BE0E8C">
        <w:rPr>
          <w:b/>
          <w:color w:val="000000"/>
        </w:rPr>
        <w:tab/>
        <w:t>February 05, 2021</w:t>
      </w:r>
    </w:p>
    <w:p w:rsidR="00E03DB7" w:rsidRPr="00BE0E8C" w:rsidRDefault="00E03DB7" w:rsidP="00E03DB7">
      <w:pPr>
        <w:pStyle w:val="NormalWeb"/>
        <w:shd w:val="clear" w:color="auto" w:fill="FFFFFF"/>
        <w:spacing w:before="0" w:beforeAutospacing="0" w:after="0" w:afterAutospacing="0"/>
        <w:jc w:val="both"/>
        <w:rPr>
          <w:i/>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12" w:tgtFrame="_blank" w:history="1">
        <w:r w:rsidRPr="00BE0E8C">
          <w:rPr>
            <w:rStyle w:val="Hyperlink"/>
            <w:u w:val="none"/>
          </w:rPr>
          <w:t>circulars DOR.No.Ret.BC.52/12.01.001/2019-20 dated March 27, 2020</w:t>
        </w:r>
      </w:hyperlink>
      <w:r w:rsidRPr="00BE0E8C">
        <w:rPr>
          <w:color w:val="000000"/>
        </w:rPr>
        <w:t>, </w:t>
      </w:r>
      <w:hyperlink r:id="rId113" w:tgtFrame="_blank" w:history="1">
        <w:r w:rsidRPr="00BE0E8C">
          <w:rPr>
            <w:rStyle w:val="Hyperlink"/>
            <w:u w:val="none"/>
          </w:rPr>
          <w:t>DOR.RRB.No.28/31.01.001/2020-21 dated December 4, 2020</w:t>
        </w:r>
      </w:hyperlink>
      <w:r w:rsidRPr="00BE0E8C">
        <w:rPr>
          <w:color w:val="000000"/>
        </w:rPr>
        <w:t> and </w:t>
      </w:r>
      <w:hyperlink r:id="rId114" w:tgtFrame="_blank" w:history="1">
        <w:r w:rsidRPr="00BE0E8C">
          <w:rPr>
            <w:rStyle w:val="Hyperlink"/>
            <w:u w:val="none"/>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the </w:t>
      </w:r>
      <w:hyperlink r:id="rId115" w:tgtFrame="_blank" w:history="1">
        <w:r w:rsidRPr="00BE0E8C">
          <w:rPr>
            <w:rStyle w:val="Hyperlink"/>
            <w:u w:val="none"/>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E03DB7" w:rsidRDefault="00E03DB7" w:rsidP="00E03DB7"/>
    <w:p w:rsidR="00E03DB7" w:rsidRDefault="00E03DB7" w:rsidP="00E03DB7"/>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Maintenance of Cash Reserve Ratio (CRR)</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b/>
          <w:color w:val="000000"/>
        </w:rPr>
      </w:pPr>
      <w:r w:rsidRPr="00BE0E8C">
        <w:rPr>
          <w:b/>
          <w:color w:val="000000"/>
        </w:rPr>
        <w:t xml:space="preserve">RBI/2020-21/90 </w:t>
      </w:r>
      <w:proofErr w:type="gramStart"/>
      <w:r w:rsidRPr="00BE0E8C">
        <w:rPr>
          <w:b/>
          <w:color w:val="000000"/>
        </w:rPr>
        <w:t>DOR.No.Ret.BC</w:t>
      </w:r>
      <w:proofErr w:type="gramEnd"/>
      <w:r w:rsidRPr="00BE0E8C">
        <w:rPr>
          <w:b/>
          <w:color w:val="000000"/>
        </w:rPr>
        <w:t>.35/12.01.001/2020-21</w:t>
      </w:r>
      <w:r w:rsidRPr="00BE0E8C">
        <w:rPr>
          <w:b/>
          <w:color w:val="000000"/>
        </w:rPr>
        <w:tab/>
      </w:r>
      <w:r w:rsidRPr="00BE0E8C">
        <w:rPr>
          <w:b/>
          <w:color w:val="000000"/>
        </w:rPr>
        <w:tab/>
      </w:r>
      <w:r w:rsidRPr="00BE0E8C">
        <w:rPr>
          <w:b/>
          <w:color w:val="000000"/>
        </w:rPr>
        <w:tab/>
        <w:t>February 5, 2021</w:t>
      </w:r>
    </w:p>
    <w:p w:rsidR="00E03DB7" w:rsidRPr="00BE0E8C" w:rsidRDefault="00E03DB7" w:rsidP="00E03DB7">
      <w:pPr>
        <w:pStyle w:val="NormalWeb"/>
        <w:shd w:val="clear" w:color="auto" w:fill="FFFFFF"/>
        <w:spacing w:before="0" w:beforeAutospacing="0" w:after="0" w:afterAutospacing="0"/>
        <w:jc w:val="both"/>
        <w:rPr>
          <w:b/>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Please refer to our </w:t>
      </w:r>
      <w:hyperlink r:id="rId116" w:tgtFrame="_blank" w:history="1">
        <w:r w:rsidRPr="00BE0E8C">
          <w:rPr>
            <w:rStyle w:val="Hyperlink"/>
            <w:u w:val="none"/>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117" w:tgtFrame="_blank" w:history="1">
        <w:r w:rsidRPr="00BE0E8C">
          <w:rPr>
            <w:rStyle w:val="Hyperlink"/>
            <w:u w:val="none"/>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E03DB7" w:rsidRDefault="00E03DB7" w:rsidP="00E03DB7"/>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Prudential Guidelines on Capital Adequacy and Market Discipline - New Capital Adequacy Framework (NCAF) - Eligible Credit Rating Agencies – CRISIL Ratings Limited</w:t>
      </w: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03DB7" w:rsidRPr="00BE0E8C" w:rsidRDefault="00E03DB7" w:rsidP="00E03DB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RBI/2020-21/86 DOR.No.CRE.BC.33/21.06.007/2020-21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27, 2021</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i/>
          <w:color w:val="000000"/>
        </w:rPr>
      </w:pPr>
      <w:r w:rsidRPr="00BE0E8C">
        <w:rPr>
          <w:i/>
          <w:color w:val="000000"/>
        </w:rPr>
        <w:t>All Scheduled Commercial Banks (Excluding Payment Banks, Local Area Banks and Regional Rural Banks)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lastRenderedPageBreak/>
        <w:t>Please refer to the </w:t>
      </w:r>
      <w:hyperlink r:id="rId118" w:tgtFrame="_blank" w:history="1">
        <w:r w:rsidRPr="00BE0E8C">
          <w:rPr>
            <w:rStyle w:val="Hyperlink"/>
          </w:rPr>
          <w:t>Master Circular DBR.No.BP.BC.4./21.06.001/2015-16 dated July 1, 2015</w:t>
        </w:r>
      </w:hyperlink>
      <w:r w:rsidRPr="00BE0E8C">
        <w:rPr>
          <w:color w:val="000000"/>
        </w:rPr>
        <w:t> on 'Prudential Guidelines on Capital Adequacy and Market Discipline - New Capital Adequacy Framework (NCAF)’ and </w:t>
      </w:r>
      <w:hyperlink r:id="rId119" w:tgtFrame="_blank" w:history="1">
        <w:r w:rsidRPr="00BE0E8C">
          <w:rPr>
            <w:rStyle w:val="Hyperlink"/>
          </w:rPr>
          <w:t>Master Circular DBR.No.BP.BC.1/21.06.201/2015-16 dated July 1, 2015</w:t>
        </w:r>
      </w:hyperlink>
      <w:r w:rsidRPr="00BE0E8C">
        <w:rPr>
          <w:color w:val="000000"/>
        </w:rPr>
        <w:t> on Basel III Capital Regulations.</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2. In terms of paragraph 6 of the above circulars, CRISIL Limited has been accredited for the purpose of risk weighting the banks' claims for capital adequacy purposes along with other credit rating agencies (CRAs) registered with Securities and Exchange Board of India (SEBI). The rating business of CRISIL Limited has since been transferred to CRISIL Ratings Limited, a wholly owned subsidiary of CRISIL Limited in compliance with SEBI’s notification dated September 11, 2018 read with SEBI’s circular dated September 19, 2018. Banks may therefore, use the ratings of the CRISIL Ratings Limited for the purpose of risk weighting their claims for capital adequacy purposes. The rating-risk weight mapping for the long term and short-term ratings assigned by CRISIL Ratings Limited will be the same as was in the case of CRISIL Limited and there is no change in the rating symbols earlier assigned by CRISIL Limited.</w:t>
      </w:r>
    </w:p>
    <w:p w:rsidR="00E03DB7" w:rsidRPr="00BE0E8C" w:rsidRDefault="00E03DB7" w:rsidP="00E03DB7">
      <w:pPr>
        <w:pStyle w:val="NormalWeb"/>
        <w:shd w:val="clear" w:color="auto" w:fill="FFFFFF"/>
        <w:spacing w:before="0" w:beforeAutospacing="0" w:after="0" w:afterAutospacing="0"/>
        <w:jc w:val="both"/>
        <w:rPr>
          <w:color w:val="000000"/>
        </w:rPr>
      </w:pPr>
    </w:p>
    <w:p w:rsidR="00E03DB7" w:rsidRPr="00BE0E8C" w:rsidRDefault="00E03DB7" w:rsidP="00E03DB7">
      <w:pPr>
        <w:pStyle w:val="NormalWeb"/>
        <w:shd w:val="clear" w:color="auto" w:fill="FFFFFF"/>
        <w:spacing w:before="0" w:beforeAutospacing="0" w:after="0" w:afterAutospacing="0"/>
        <w:jc w:val="both"/>
        <w:rPr>
          <w:color w:val="000000"/>
        </w:rPr>
      </w:pPr>
      <w:r w:rsidRPr="00BE0E8C">
        <w:rPr>
          <w:color w:val="000000"/>
        </w:rPr>
        <w:t>3. All other provisions regarding external credit ratings stipulated in the aforementioned Master Circulars remain unchanged.</w:t>
      </w:r>
    </w:p>
    <w:p w:rsidR="00E03DB7" w:rsidRDefault="00E03DB7" w:rsidP="00E03DB7"/>
    <w:p w:rsidR="00E03DB7" w:rsidRDefault="00E03DB7" w:rsidP="00E03DB7"/>
    <w:p w:rsidR="00E03DB7"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RBI releases 2020 list of Domestic Systemically Important Banks (D-SIBs)</w:t>
      </w:r>
      <w:r>
        <w:rPr>
          <w:rFonts w:ascii="Times New Roman" w:hAnsi="Times New Roman" w:cs="Times New Roman"/>
          <w:b/>
          <w:color w:val="000000"/>
          <w:sz w:val="24"/>
          <w:szCs w:val="24"/>
        </w:rPr>
        <w:tab/>
      </w:r>
    </w:p>
    <w:p w:rsidR="00E03DB7" w:rsidRDefault="00E03DB7" w:rsidP="00E03DB7">
      <w:pPr>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Date: </w:t>
      </w:r>
      <w:r w:rsidRPr="00C203D8">
        <w:rPr>
          <w:rFonts w:ascii="Times New Roman" w:hAnsi="Times New Roman" w:cs="Times New Roman"/>
          <w:b/>
          <w:bCs/>
          <w:color w:val="000000"/>
          <w:sz w:val="24"/>
          <w:szCs w:val="24"/>
        </w:rPr>
        <w:t>Jan 19, 2021</w:t>
      </w:r>
    </w:p>
    <w:p w:rsidR="00E03DB7" w:rsidRDefault="00E03DB7" w:rsidP="00E03DB7">
      <w:pPr>
        <w:spacing w:after="0" w:line="240" w:lineRule="auto"/>
        <w:jc w:val="both"/>
        <w:rPr>
          <w:rFonts w:ascii="Times New Roman" w:hAnsi="Times New Roman" w:cs="Times New Roman"/>
          <w:b/>
          <w:bCs/>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SBI, ICICI Bank, and HDFC Bank continue to be identified as Domestic Systemically Important Banks (D-SIBs), under the same bucketing structure as in the 2018 list of D-SIBs. The additional Common Equity Tier 1 (CET1) requirement for D-SIBs was phased-in from April 1, 2016 and became fully effective from April 1, 2019. The additional CET1 requirement will be in addition to the capital conservation buffer.</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list of D-SIBs is as follows:</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p>
    <w:tbl>
      <w:tblPr>
        <w:tblW w:w="4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3380"/>
        <w:gridCol w:w="3705"/>
      </w:tblGrid>
      <w:tr w:rsidR="00E03DB7" w:rsidRPr="00C203D8" w:rsidTr="00C20495">
        <w:trPr>
          <w:trHeight w:val="955"/>
          <w:jc w:val="center"/>
        </w:trPr>
        <w:tc>
          <w:tcPr>
            <w:tcW w:w="642"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Bucket</w:t>
            </w:r>
          </w:p>
        </w:tc>
        <w:tc>
          <w:tcPr>
            <w:tcW w:w="20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Banks</w:t>
            </w:r>
          </w:p>
        </w:tc>
        <w:tc>
          <w:tcPr>
            <w:tcW w:w="2279" w:type="pct"/>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b/>
                <w:bCs/>
                <w:color w:val="000000"/>
                <w:sz w:val="24"/>
                <w:szCs w:val="24"/>
              </w:rPr>
            </w:pPr>
            <w:r w:rsidRPr="00C203D8">
              <w:rPr>
                <w:rFonts w:ascii="Times New Roman" w:hAnsi="Times New Roman" w:cs="Times New Roman"/>
                <w:b/>
                <w:bCs/>
                <w:color w:val="000000"/>
                <w:sz w:val="24"/>
                <w:szCs w:val="24"/>
              </w:rPr>
              <w:t>Additional Common Equity Tier 1 requirement as a percentage of Risk Weighted Assets (RWAs)</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5</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0.80%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State Bank of India</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0.60%</w:t>
            </w:r>
          </w:p>
        </w:tc>
      </w:tr>
      <w:tr w:rsidR="00E03DB7" w:rsidRPr="00C203D8" w:rsidTr="00C20495">
        <w:trPr>
          <w:trHeight w:val="232"/>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0.40%</w:t>
            </w:r>
          </w:p>
        </w:tc>
      </w:tr>
      <w:tr w:rsidR="00E03DB7" w:rsidRPr="00C203D8" w:rsidTr="00C20495">
        <w:trPr>
          <w:trHeight w:val="245"/>
          <w:jc w:val="center"/>
        </w:trPr>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ICICI Bank, HDFC Bank</w:t>
            </w:r>
          </w:p>
        </w:tc>
        <w:tc>
          <w:tcPr>
            <w:tcW w:w="0" w:type="auto"/>
            <w:tcMar>
              <w:top w:w="0" w:type="dxa"/>
              <w:left w:w="45" w:type="dxa"/>
              <w:bottom w:w="0" w:type="dxa"/>
              <w:right w:w="45" w:type="dxa"/>
            </w:tcMar>
            <w:vAlign w:val="center"/>
            <w:hideMark/>
          </w:tcPr>
          <w:p w:rsidR="00E03DB7" w:rsidRPr="00C203D8" w:rsidRDefault="00E03DB7" w:rsidP="00C20495">
            <w:pPr>
              <w:spacing w:after="0" w:line="240" w:lineRule="auto"/>
              <w:jc w:val="center"/>
              <w:rPr>
                <w:rFonts w:ascii="Times New Roman" w:hAnsi="Times New Roman" w:cs="Times New Roman"/>
                <w:color w:val="000000"/>
                <w:sz w:val="24"/>
                <w:szCs w:val="24"/>
              </w:rPr>
            </w:pPr>
            <w:r w:rsidRPr="00C203D8">
              <w:rPr>
                <w:rFonts w:ascii="Times New Roman" w:hAnsi="Times New Roman" w:cs="Times New Roman"/>
                <w:color w:val="000000"/>
                <w:sz w:val="24"/>
                <w:szCs w:val="24"/>
              </w:rPr>
              <w:t>0.20%</w:t>
            </w:r>
          </w:p>
        </w:tc>
      </w:tr>
    </w:tbl>
    <w:p w:rsidR="00E03DB7"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b/>
          <w:color w:val="000000"/>
          <w:sz w:val="24"/>
          <w:szCs w:val="24"/>
        </w:rPr>
      </w:pPr>
      <w:r w:rsidRPr="00C203D8">
        <w:rPr>
          <w:rFonts w:ascii="Times New Roman" w:hAnsi="Times New Roman" w:cs="Times New Roman"/>
          <w:b/>
          <w:color w:val="000000"/>
          <w:sz w:val="24"/>
          <w:szCs w:val="24"/>
        </w:rPr>
        <w:t>Background:</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 xml:space="preserve">The Reserve Bank had issued the Framework for dealing with Domestic Systemically Important Banks (D-SIBs) on July 22, 2014. The D-SIB framework requires the Reserve Bank to disclose the names of banks designated as D-SIBs starting from 2015 and place these banks in appropriate buckets depending upon their Systemic Importance Scores (SISs). Based on the bucket in which a D-SIB is placed, an additional common equity requirement has to be applied </w:t>
      </w:r>
      <w:r w:rsidRPr="00C203D8">
        <w:rPr>
          <w:rFonts w:ascii="Times New Roman" w:hAnsi="Times New Roman" w:cs="Times New Roman"/>
          <w:color w:val="000000"/>
          <w:sz w:val="24"/>
          <w:szCs w:val="24"/>
        </w:rPr>
        <w:lastRenderedPageBreak/>
        <w:t>to it. In case a foreign bank having branch presence in India is a Global Systemically Important Bank (G-SIB), it has to maintain additional CET1 capital surcharge in India as applicable to it as a G-SIB, proportionate to its Risk Weighted Assets (RWAs) in India, i.e., additional CET1 buffer prescribed by the home regulator (amount) multiplied by India RWA as per consolidated global Group books divided by total consolidated global Group RWA.</w:t>
      </w:r>
    </w:p>
    <w:p w:rsidR="00E03DB7" w:rsidRPr="00C203D8" w:rsidRDefault="00E03DB7" w:rsidP="00E03DB7">
      <w:pPr>
        <w:spacing w:after="0" w:line="240" w:lineRule="auto"/>
        <w:jc w:val="both"/>
        <w:rPr>
          <w:rFonts w:ascii="Times New Roman" w:hAnsi="Times New Roman" w:cs="Times New Roman"/>
          <w:color w:val="000000"/>
          <w:sz w:val="24"/>
          <w:szCs w:val="24"/>
        </w:rPr>
      </w:pPr>
    </w:p>
    <w:p w:rsidR="00E03DB7" w:rsidRPr="00C203D8" w:rsidRDefault="00E03DB7" w:rsidP="00E03DB7">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Based on the methodology provided in the D-SIB framework and data collected from banks as on March 31, 2015 and March 31, 2016, the Reserve Bank had announced State Bank of India and ICICI Bank Ltd. as D-SIBs on August 31, 2015 and August 25, 2016, respectively. Based on data collected from banks as on March 31, 2017 and March 31, 2018, the Reserve Bank had announced State Bank of India, ICICI Bank Ltd. and HDFC Bank Ltd. as D-SIBs on September 04, 2017 and March 14, 2019 respectively. Current update is based on the data collected from banks as on March 31, 2020.</w:t>
      </w:r>
    </w:p>
    <w:p w:rsidR="00E03DB7" w:rsidRPr="00C203D8" w:rsidRDefault="00E03DB7" w:rsidP="00E03DB7">
      <w:pPr>
        <w:spacing w:after="0" w:line="240" w:lineRule="auto"/>
        <w:jc w:val="both"/>
        <w:rPr>
          <w:rFonts w:ascii="Times New Roman" w:hAnsi="Times New Roman" w:cs="Times New Roman"/>
          <w:b/>
          <w:color w:val="000000"/>
          <w:sz w:val="24"/>
          <w:szCs w:val="24"/>
        </w:rPr>
      </w:pPr>
    </w:p>
    <w:p w:rsidR="00E03DB7" w:rsidRDefault="00E03DB7" w:rsidP="00E03DB7">
      <w:pPr>
        <w:rPr>
          <w:rFonts w:ascii="Times New Roman" w:hAnsi="Times New Roman" w:cs="Times New Roman"/>
          <w:b/>
          <w:color w:val="000000"/>
          <w:sz w:val="24"/>
          <w:szCs w:val="24"/>
        </w:rPr>
      </w:pPr>
      <w:r w:rsidRPr="005040B9">
        <w:rPr>
          <w:rFonts w:ascii="Times New Roman" w:hAnsi="Times New Roman" w:cs="Times New Roman"/>
          <w:color w:val="000000"/>
          <w:sz w:val="24"/>
          <w:szCs w:val="24"/>
        </w:rPr>
        <w:br w:type="page"/>
      </w:r>
      <w:r w:rsidRPr="003B3D9C">
        <w:rPr>
          <w:rFonts w:ascii="Times New Roman" w:hAnsi="Times New Roman" w:cs="Times New Roman"/>
          <w:b/>
          <w:color w:val="000000"/>
          <w:sz w:val="24"/>
          <w:szCs w:val="24"/>
        </w:rPr>
        <w:lastRenderedPageBreak/>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E03DB7" w:rsidRDefault="00E03DB7" w:rsidP="00E03DB7">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E03DB7" w:rsidRPr="003B3D9C" w:rsidRDefault="00E03DB7" w:rsidP="00E03DB7">
      <w:pPr>
        <w:pStyle w:val="ListParagraph"/>
        <w:numPr>
          <w:ilvl w:val="0"/>
          <w:numId w:val="33"/>
        </w:numPr>
        <w:spacing w:after="0" w:line="240" w:lineRule="auto"/>
        <w:jc w:val="both"/>
        <w:rPr>
          <w:rFonts w:ascii="Times New Roman" w:hAnsi="Times New Roman" w:cs="Times New Roman"/>
          <w:color w:val="000000"/>
          <w:sz w:val="24"/>
          <w:szCs w:val="24"/>
        </w:rPr>
      </w:pPr>
      <w:proofErr w:type="spellStart"/>
      <w:r w:rsidRPr="003B3D9C">
        <w:rPr>
          <w:rFonts w:ascii="Times New Roman" w:hAnsi="Times New Roman" w:cs="Times New Roman"/>
          <w:color w:val="000000"/>
          <w:sz w:val="24"/>
          <w:szCs w:val="24"/>
        </w:rPr>
        <w:t>were</w:t>
      </w:r>
      <w:proofErr w:type="spellEnd"/>
      <w:r w:rsidRPr="003B3D9C">
        <w:rPr>
          <w:rFonts w:ascii="Times New Roman" w:hAnsi="Times New Roman" w:cs="Times New Roman"/>
          <w:color w:val="000000"/>
          <w:sz w:val="24"/>
          <w:szCs w:val="24"/>
        </w:rPr>
        <w:t xml:space="preserve"> not being interpreted uniformly by all practitioners;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E03DB7" w:rsidRPr="003B3D9C" w:rsidRDefault="00E03DB7" w:rsidP="00E03DB7">
      <w:pPr>
        <w:pStyle w:val="ListParagraph"/>
        <w:numPr>
          <w:ilvl w:val="0"/>
          <w:numId w:val="32"/>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E03DB7" w:rsidRDefault="00E03DB7" w:rsidP="00E03DB7">
      <w:pPr>
        <w:spacing w:after="0" w:line="240" w:lineRule="auto"/>
        <w:jc w:val="both"/>
        <w:rPr>
          <w:rFonts w:ascii="Times New Roman" w:hAnsi="Times New Roman" w:cs="Times New Roman"/>
          <w:color w:val="000000"/>
          <w:sz w:val="24"/>
          <w:szCs w:val="24"/>
        </w:rPr>
      </w:pPr>
    </w:p>
    <w:p w:rsidR="00E03DB7" w:rsidRPr="003B3D9C"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The RBI vide their letter </w:t>
      </w:r>
      <w:proofErr w:type="spellStart"/>
      <w:r w:rsidRPr="003B3D9C">
        <w:rPr>
          <w:rFonts w:ascii="Times New Roman" w:hAnsi="Times New Roman" w:cs="Times New Roman"/>
          <w:color w:val="000000"/>
          <w:sz w:val="24"/>
          <w:szCs w:val="24"/>
        </w:rPr>
        <w:t>FED.CO.Trade</w:t>
      </w:r>
      <w:proofErr w:type="spellEnd"/>
      <w:r w:rsidRPr="003B3D9C">
        <w:rPr>
          <w:rFonts w:ascii="Times New Roman" w:hAnsi="Times New Roman" w:cs="Times New Roman"/>
          <w:color w:val="000000"/>
          <w:sz w:val="24"/>
          <w:szCs w:val="24"/>
        </w:rPr>
        <w:t>/1875/05.31.077/2020-21 dated March 05, 2021 have clarified these terms as used in various guidelines, which is enclosed herewith for your record and compliance.</w:t>
      </w:r>
    </w:p>
    <w:p w:rsidR="00E03DB7" w:rsidRDefault="00E03DB7" w:rsidP="00E03DB7">
      <w:pPr>
        <w:spacing w:after="0" w:line="240" w:lineRule="auto"/>
        <w:jc w:val="both"/>
        <w:rPr>
          <w:rFonts w:ascii="Times New Roman" w:hAnsi="Times New Roman" w:cs="Times New Roman"/>
          <w:color w:val="000000"/>
          <w:sz w:val="24"/>
          <w:szCs w:val="24"/>
        </w:rPr>
      </w:pPr>
    </w:p>
    <w:p w:rsidR="00E03DB7" w:rsidRDefault="00E03DB7" w:rsidP="00E03DB7">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Annexure to FEDAI Circular SPL-01/</w:t>
      </w:r>
      <w:proofErr w:type="spellStart"/>
      <w:r w:rsidRPr="003B3D9C">
        <w:rPr>
          <w:rFonts w:ascii="Times New Roman" w:hAnsi="Times New Roman" w:cs="Times New Roman"/>
          <w:color w:val="000000"/>
          <w:sz w:val="24"/>
          <w:szCs w:val="24"/>
        </w:rPr>
        <w:t>Exp</w:t>
      </w:r>
      <w:proofErr w:type="spellEnd"/>
      <w:r w:rsidRPr="003B3D9C">
        <w:rPr>
          <w:rFonts w:ascii="Times New Roman" w:hAnsi="Times New Roman" w:cs="Times New Roman"/>
          <w:color w:val="000000"/>
          <w:sz w:val="24"/>
          <w:szCs w:val="24"/>
        </w:rPr>
        <w:t xml:space="preserve">-imp/2021 dated 09th March2021: </w:t>
      </w:r>
      <w:r>
        <w:rPr>
          <w:rFonts w:ascii="Times New Roman" w:hAnsi="Times New Roman" w:cs="Times New Roman"/>
          <w:color w:val="000000"/>
          <w:sz w:val="24"/>
          <w:szCs w:val="24"/>
        </w:rPr>
        <w:t xml:space="preserve"> </w:t>
      </w:r>
      <w:hyperlink r:id="rId120" w:history="1">
        <w:r w:rsidRPr="003A2F80">
          <w:rPr>
            <w:rStyle w:val="Hyperlink"/>
            <w:rFonts w:ascii="Times New Roman" w:hAnsi="Times New Roman" w:cs="Times New Roman"/>
            <w:sz w:val="24"/>
            <w:szCs w:val="24"/>
          </w:rPr>
          <w:t>https://www.fedai.org.in/DocumentUploadFiles/SpecialCircular/SPL-01.2021dt.09March2021.pdf</w:t>
        </w:r>
      </w:hyperlink>
    </w:p>
    <w:p w:rsidR="00E03DB7" w:rsidRDefault="00E03DB7" w:rsidP="00E03DB7"/>
    <w:p w:rsidR="00AB0AB3" w:rsidRPr="00BE0E8C" w:rsidRDefault="00AB0AB3" w:rsidP="00AB0AB3">
      <w:pPr>
        <w:pStyle w:val="NormalWeb"/>
        <w:shd w:val="clear" w:color="auto" w:fill="FFFFFF"/>
        <w:spacing w:before="0" w:beforeAutospacing="0" w:after="0" w:afterAutospacing="0"/>
        <w:jc w:val="both"/>
        <w:rPr>
          <w:b/>
          <w:bCs/>
          <w:color w:val="000000"/>
        </w:rPr>
      </w:pPr>
      <w:r w:rsidRPr="00BE0E8C">
        <w:rPr>
          <w:b/>
          <w:bCs/>
          <w:color w:val="000000"/>
        </w:rPr>
        <w:t>Customer Due Diligence for transactions in Virtual Currencies (VC)</w:t>
      </w:r>
    </w:p>
    <w:p w:rsidR="00AB0AB3" w:rsidRDefault="00AB0AB3" w:rsidP="00AB0AB3">
      <w:pPr>
        <w:pStyle w:val="NormalWeb"/>
        <w:shd w:val="clear" w:color="auto" w:fill="FFFFFF"/>
        <w:spacing w:before="0" w:beforeAutospacing="0" w:after="0" w:afterAutospacing="0"/>
        <w:jc w:val="both"/>
        <w:rPr>
          <w:color w:val="000000"/>
        </w:rPr>
      </w:pPr>
    </w:p>
    <w:p w:rsidR="00AB0AB3" w:rsidRPr="00675F53" w:rsidRDefault="00AB0AB3" w:rsidP="00AB0AB3">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AB0AB3" w:rsidRDefault="00AB0AB3" w:rsidP="00AB0AB3">
      <w:pPr>
        <w:pStyle w:val="NormalWeb"/>
        <w:shd w:val="clear" w:color="auto" w:fill="FFFFFF"/>
        <w:spacing w:before="0" w:beforeAutospacing="0" w:after="0" w:afterAutospacing="0"/>
        <w:jc w:val="both"/>
        <w:rPr>
          <w:color w:val="000000"/>
        </w:rPr>
      </w:pPr>
    </w:p>
    <w:p w:rsidR="00AB0AB3" w:rsidRPr="00675F53" w:rsidRDefault="00AB0AB3" w:rsidP="00AB0AB3">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AB0AB3"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121" w:tgtFrame="_blank" w:history="1">
        <w:r w:rsidRPr="00BE0E8C">
          <w:rPr>
            <w:rStyle w:val="Hyperlink"/>
          </w:rPr>
          <w:t>RBI circular DBR.No.BP.BC.104/08.13.102/2017-18 dated April 06, 2018</w:t>
        </w:r>
      </w:hyperlink>
      <w:r w:rsidRPr="00BE0E8C">
        <w:rPr>
          <w:color w:val="000000"/>
        </w:rPr>
        <w:t xml:space="preserve">. Such references to the above circular by banks/ regulated entities are not in order as </w:t>
      </w:r>
      <w:proofErr w:type="gramStart"/>
      <w:r w:rsidRPr="00BE0E8C">
        <w:rPr>
          <w:color w:val="000000"/>
        </w:rPr>
        <w:t>this  circular</w:t>
      </w:r>
      <w:proofErr w:type="gramEnd"/>
      <w:r w:rsidRPr="00BE0E8C">
        <w:rPr>
          <w:color w:val="000000"/>
        </w:rPr>
        <w:t xml:space="preserve">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AB0AB3" w:rsidRDefault="00AB0AB3" w:rsidP="00AB0AB3">
      <w:pPr>
        <w:pStyle w:val="NormalWeb"/>
        <w:pBdr>
          <w:bottom w:val="single" w:sz="12" w:space="1" w:color="auto"/>
        </w:pBdr>
        <w:shd w:val="clear" w:color="auto" w:fill="FFFFFF"/>
        <w:spacing w:before="0" w:beforeAutospacing="0" w:after="0" w:afterAutospacing="0"/>
        <w:jc w:val="both"/>
        <w:rPr>
          <w:color w:val="000000"/>
        </w:rPr>
      </w:pPr>
    </w:p>
    <w:p w:rsidR="00AB0AB3" w:rsidRDefault="00AB0AB3" w:rsidP="00AB0AB3">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AB0AB3" w:rsidRDefault="00AB0AB3" w:rsidP="00E03DB7"/>
    <w:p w:rsidR="00AB0AB3" w:rsidRDefault="00AB0AB3" w:rsidP="00E03DB7"/>
    <w:p w:rsidR="00AB0AB3" w:rsidRPr="00BE0E8C" w:rsidRDefault="00AB0AB3" w:rsidP="00AB0AB3">
      <w:pPr>
        <w:pStyle w:val="NormalWeb"/>
        <w:shd w:val="clear" w:color="auto" w:fill="FFFFFF"/>
        <w:spacing w:before="0" w:beforeAutospacing="0" w:after="0" w:afterAutospacing="0"/>
        <w:jc w:val="both"/>
        <w:rPr>
          <w:b/>
          <w:bCs/>
          <w:color w:val="000000"/>
        </w:rPr>
      </w:pPr>
      <w:r w:rsidRPr="00BE0E8C">
        <w:rPr>
          <w:b/>
          <w:bCs/>
          <w:color w:val="000000"/>
        </w:rPr>
        <w:lastRenderedPageBreak/>
        <w:t>Guidelines for Appointment of Statutory Central Auditors (SCAs)/Statutory Auditors (SAs) of Commercial Banks (excluding RRBs), UCBs and NBFCs (including HFCs)</w:t>
      </w:r>
    </w:p>
    <w:p w:rsidR="00AB0AB3" w:rsidRPr="00BE0E8C" w:rsidRDefault="00AB0AB3" w:rsidP="00AB0AB3">
      <w:pPr>
        <w:pStyle w:val="NormalWeb"/>
        <w:shd w:val="clear" w:color="auto" w:fill="FFFFFF"/>
        <w:spacing w:before="0" w:beforeAutospacing="0" w:after="0" w:afterAutospacing="0"/>
        <w:jc w:val="both"/>
        <w:rPr>
          <w:b/>
          <w:color w:val="000000"/>
        </w:rPr>
      </w:pPr>
    </w:p>
    <w:p w:rsidR="00AB0AB3" w:rsidRPr="00BE0E8C" w:rsidRDefault="00AB0AB3" w:rsidP="00AB0AB3">
      <w:pPr>
        <w:pStyle w:val="NormalWeb"/>
        <w:shd w:val="clear" w:color="auto" w:fill="FFFFFF"/>
        <w:spacing w:before="0" w:beforeAutospacing="0" w:after="0" w:afterAutospacing="0"/>
        <w:jc w:val="both"/>
        <w:rPr>
          <w:b/>
          <w:color w:val="000000"/>
        </w:rPr>
      </w:pPr>
      <w:r w:rsidRPr="00BE0E8C">
        <w:rPr>
          <w:b/>
          <w:color w:val="000000"/>
        </w:rPr>
        <w:t xml:space="preserve">RBI/2021-22/25 </w:t>
      </w:r>
      <w:proofErr w:type="spellStart"/>
      <w:r w:rsidRPr="00BE0E8C">
        <w:rPr>
          <w:b/>
          <w:color w:val="000000"/>
        </w:rPr>
        <w:t>Ref.No.DoS.CO.ARG</w:t>
      </w:r>
      <w:proofErr w:type="spellEnd"/>
      <w:r w:rsidRPr="00BE0E8C">
        <w:rPr>
          <w:b/>
          <w:color w:val="000000"/>
        </w:rPr>
        <w:t xml:space="preserve">/SEC.01/08.91.001/2021-22 </w:t>
      </w:r>
      <w:r w:rsidRPr="00BE0E8C">
        <w:rPr>
          <w:b/>
          <w:color w:val="000000"/>
        </w:rPr>
        <w:tab/>
        <w:t>April 27, 2021</w:t>
      </w:r>
    </w:p>
    <w:p w:rsidR="00AB0AB3" w:rsidRPr="00BE0E8C" w:rsidRDefault="00AB0AB3" w:rsidP="00AB0AB3">
      <w:pPr>
        <w:pStyle w:val="NormalWeb"/>
        <w:shd w:val="clear" w:color="auto" w:fill="FFFFFF"/>
        <w:spacing w:before="0" w:beforeAutospacing="0" w:after="0" w:afterAutospacing="0"/>
        <w:jc w:val="both"/>
        <w:rPr>
          <w:i/>
          <w:color w:val="000000"/>
          <w:shd w:val="clear" w:color="auto" w:fill="FFFFFF"/>
        </w:rPr>
      </w:pPr>
    </w:p>
    <w:p w:rsidR="00AB0AB3" w:rsidRPr="00BE0E8C" w:rsidRDefault="00AB0AB3" w:rsidP="00AB0AB3">
      <w:pPr>
        <w:pStyle w:val="NormalWeb"/>
        <w:shd w:val="clear" w:color="auto" w:fill="FFFFFF"/>
        <w:spacing w:before="0" w:beforeAutospacing="0" w:after="0" w:afterAutospacing="0"/>
        <w:jc w:val="both"/>
        <w:rPr>
          <w:color w:val="000000"/>
          <w:shd w:val="clear" w:color="auto" w:fill="FFFFFF"/>
        </w:rPr>
      </w:pPr>
      <w:r w:rsidRPr="00BE0E8C">
        <w:rPr>
          <w:i/>
          <w:color w:val="000000"/>
          <w:shd w:val="clear" w:color="auto" w:fill="FFFFFF"/>
        </w:rPr>
        <w:t>The Chairman/Managing Director/Chief Executive Officer, All Commercial Banks (Excluding RRBs), All Primary (Urban) Co-operative Banks (UCBs), All Non-Banking Finance Companies (NBFCs) (Including Housing Finance Companies)</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The following guidelines are issued under Section 30(1A) of the Banking Regulation Act, 1949, Section 10(1) of the Banking Companies (Acquisition and Transfer of Undertakings) Act, 1970/1980 and Section 41(1) of SBI Act, 1955; and under provisions of Chapter IIIB of RBI Act, 1934 for NBFCs. These guidelines supersede all previous guidelines (list enclosed at </w:t>
      </w:r>
      <w:hyperlink r:id="rId122" w:anchor="T1" w:history="1">
        <w:r w:rsidRPr="00BE0E8C">
          <w:rPr>
            <w:rStyle w:val="Hyperlink"/>
            <w:u w:val="none"/>
          </w:rPr>
          <w:t>Table 1</w:t>
        </w:r>
      </w:hyperlink>
      <w:r w:rsidRPr="00BE0E8C">
        <w:rPr>
          <w:color w:val="000000"/>
        </w:rPr>
        <w:t>) issued on the subject.</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2. Applicability:</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2.1 These guidelines will be applicable to the </w:t>
      </w:r>
      <w:r w:rsidRPr="00BE0E8C">
        <w:rPr>
          <w:rStyle w:val="head1"/>
          <w:b/>
          <w:bCs/>
          <w:color w:val="000000"/>
        </w:rPr>
        <w:t>Commercial Banks (excluding RRBs), UCBs and NBFCs including HFCs (hereinafter referred to as the Entities)</w:t>
      </w:r>
      <w:r w:rsidRPr="00BE0E8C">
        <w:rPr>
          <w:color w:val="000000"/>
        </w:rPr>
        <w:t> for Financial Year 2021-22 and onwards in respect of appointment/reappointment of SCAs/SAs</w:t>
      </w:r>
      <w:hyperlink r:id="rId123" w:anchor="FT1" w:history="1">
        <w:r w:rsidRPr="00BE0E8C">
          <w:rPr>
            <w:rStyle w:val="Hyperlink"/>
            <w:u w:val="none"/>
            <w:vertAlign w:val="superscript"/>
          </w:rPr>
          <w:t>1</w:t>
        </w:r>
      </w:hyperlink>
      <w:r w:rsidRPr="00BE0E8C">
        <w:rPr>
          <w:color w:val="000000"/>
        </w:rPr>
        <w:t> of the Entities. However, non-deposit taking NBFCs with asset size</w:t>
      </w:r>
      <w:hyperlink r:id="rId124" w:anchor="FT2" w:history="1">
        <w:r w:rsidRPr="00BE0E8C">
          <w:rPr>
            <w:rStyle w:val="Hyperlink"/>
            <w:u w:val="none"/>
            <w:vertAlign w:val="superscript"/>
          </w:rPr>
          <w:t>2</w:t>
        </w:r>
      </w:hyperlink>
      <w:r w:rsidRPr="00BE0E8C">
        <w:rPr>
          <w:color w:val="000000"/>
        </w:rPr>
        <w:t> below ₹1,000 crore have the option to continue with their extant procedure.</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2.2 As RBI guidelines regarding appointment of SCAs/SAs shall be implemented for the first time for UCBs and NBFCs from FY 2021-22, they shall have the flexibility to adopt these guidelines from H2 (second half) of FY 2021-22 in order to ensure that there is no disruption.</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3. Prior Approval of RBI:</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3.1 Commercial Banks (excluding RRBs) and UCBs will be required to take prior approval of RBI (Department of Supervision) for appointment/reappointment of SCAs/SAs, on an annual basis in terms of the above-mentioned statutory provisions. For the purpose, they should apply to Department of Supervision, RBI before 31st July of the reference year and the Public Sector Banks (PSBs) shall approach RBI within one month of receipt of list of eligible audit firms from RBI.</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3.2 For the purpose, all Commercial Banks (excluding RRBs) in India and UCBs under Mumbai Region shall approach the Central Office of RBI (Department of Supervision). Other UCBs shall approach the concerned Regional Office of RBI (Department of Supervision), under whose jurisdiction their Head Office is located.</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3.3 While NBFCs do not have to take prior approval of RBI for appointment of SCAs/SAs, all NBFCs need to inform RBI (to the same office as applicable to UCBs, as stated in Para 3.2 above) about the appointment of SCAs/SAs for each year by way of a certificate in </w:t>
      </w:r>
      <w:hyperlink r:id="rId125" w:anchor="FA" w:history="1">
        <w:r w:rsidRPr="00BE0E8C">
          <w:rPr>
            <w:rStyle w:val="Hyperlink"/>
            <w:u w:val="none"/>
          </w:rPr>
          <w:t>Form A</w:t>
        </w:r>
      </w:hyperlink>
      <w:r w:rsidRPr="00BE0E8C">
        <w:rPr>
          <w:color w:val="000000"/>
        </w:rPr>
        <w:t> within one month of such appointment.</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4. Number of SCAs / SAs and Branch Coverage</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4.1 For Entities with asset size of ₹15,000 </w:t>
      </w:r>
      <w:proofErr w:type="gramStart"/>
      <w:r w:rsidRPr="00BE0E8C">
        <w:rPr>
          <w:color w:val="000000"/>
        </w:rPr>
        <w:t>crore</w:t>
      </w:r>
      <w:proofErr w:type="gramEnd"/>
      <w:r w:rsidRPr="00BE0E8C">
        <w:rPr>
          <w:color w:val="000000"/>
        </w:rPr>
        <w:t xml:space="preserve"> and above as at the end of previous year, the statutory audit should be conducted under joint audit of a minimum of two audit firms [Partnership firms/Limited Liability Partnerships (LLPs)]. All other Entities should appoint a minimum of one audit firm (Partnership firm/LLPs) for conducting statutory audit. It shall be ensured that joint auditors of the Entity do not have any common partners and they are not under the same network</w:t>
      </w:r>
      <w:hyperlink r:id="rId126" w:anchor="FT3" w:history="1">
        <w:r w:rsidRPr="00BE0E8C">
          <w:rPr>
            <w:rStyle w:val="Hyperlink"/>
            <w:u w:val="none"/>
            <w:vertAlign w:val="superscript"/>
          </w:rPr>
          <w:t>3</w:t>
        </w:r>
      </w:hyperlink>
      <w:r w:rsidRPr="00BE0E8C">
        <w:rPr>
          <w:color w:val="000000"/>
        </w:rPr>
        <w:t> of audit firms. Further, the Entity may finalise the work allocation among SCAs/SAs, before the commencement of the statutory audit, in consultation with their SCAs/SAs.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lastRenderedPageBreak/>
        <w:t>4.2 The Entities should decide on the number of SCAs/SAs based on a Board/Local Management Committee (LMC) Approved Policy, inter alia, taking into account the relevant factors such as the size and spread of assets, accounting and administrative units, complexity of transactions, level of computerization, availability of other independent audit inputs, identified risks in financial reporting, etc.</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Considering the above factors and the requirements of the Entity, the actual number of SCAs/SAs to be appointed shall be decided by the respective Boards/LMC, subject to the following limits:</w:t>
      </w:r>
    </w:p>
    <w:p w:rsidR="00AB0AB3" w:rsidRPr="00BE0E8C" w:rsidRDefault="00AB0AB3" w:rsidP="00AB0AB3">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4256"/>
        <w:gridCol w:w="2380"/>
      </w:tblGrid>
      <w:tr w:rsidR="00AB0AB3" w:rsidRPr="00BE0E8C" w:rsidTr="00C20495">
        <w:trPr>
          <w:jc w:val="center"/>
        </w:trPr>
        <w:tc>
          <w:tcPr>
            <w:tcW w:w="400" w:type="pct"/>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Sl. No.</w:t>
            </w:r>
          </w:p>
        </w:tc>
        <w:tc>
          <w:tcPr>
            <w:tcW w:w="2950" w:type="pct"/>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Asset Size of the Entity</w:t>
            </w:r>
          </w:p>
        </w:tc>
        <w:tc>
          <w:tcPr>
            <w:tcW w:w="1650" w:type="pct"/>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Maximum number of SCAs/SAs</w:t>
            </w:r>
          </w:p>
        </w:tc>
      </w:tr>
      <w:tr w:rsidR="00AB0AB3" w:rsidRPr="00BE0E8C" w:rsidTr="00C20495">
        <w:trPr>
          <w:jc w:val="center"/>
        </w:trPr>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both"/>
              <w:rPr>
                <w:rFonts w:ascii="Times New Roman" w:hAnsi="Times New Roman" w:cs="Times New Roman"/>
                <w:color w:val="000000"/>
                <w:sz w:val="24"/>
                <w:szCs w:val="24"/>
              </w:rPr>
            </w:pP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₹5,00,000 crore</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r>
      <w:tr w:rsidR="00AB0AB3" w:rsidRPr="00BE0E8C" w:rsidTr="00C20495">
        <w:trPr>
          <w:jc w:val="center"/>
        </w:trPr>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Above ₹ 5,00,000 crore and </w:t>
            </w: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 10,00,000 crore</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r>
      <w:tr w:rsidR="00AB0AB3" w:rsidRPr="00BE0E8C" w:rsidTr="00C20495">
        <w:trPr>
          <w:jc w:val="center"/>
        </w:trPr>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Above ₹ 10,00,000 crore and </w:t>
            </w: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 20,00,000 crore</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8</w:t>
            </w:r>
          </w:p>
        </w:tc>
      </w:tr>
      <w:tr w:rsidR="00AB0AB3" w:rsidRPr="00BE0E8C" w:rsidTr="00C20495">
        <w:trPr>
          <w:jc w:val="center"/>
        </w:trPr>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20,00,000 crore</w:t>
            </w:r>
          </w:p>
        </w:tc>
        <w:tc>
          <w:tcPr>
            <w:tcW w:w="0" w:type="auto"/>
            <w:tcMar>
              <w:top w:w="0" w:type="dxa"/>
              <w:left w:w="45" w:type="dxa"/>
              <w:bottom w:w="0" w:type="dxa"/>
              <w:right w:w="45" w:type="dxa"/>
            </w:tcMar>
            <w:vAlign w:val="center"/>
            <w:hideMark/>
          </w:tcPr>
          <w:p w:rsidR="00AB0AB3" w:rsidRPr="00BE0E8C" w:rsidRDefault="00AB0AB3"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12</w:t>
            </w:r>
          </w:p>
        </w:tc>
      </w:tr>
    </w:tbl>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The above limits have been prescribed to ensure that the number of SCAs/SAs appointed by the Entities are adequate, commensurate with the asset size and extent of operations of the Entities, with a view to ensure that audits are conducted in a timely and effective manner. This will be subject to review in future based on the experience.</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4.3 In terms of RBI guidelines on ‘Norms on eligibility, empanelment and selection of Statutory Branch Auditors in Public Sector Banks (PSBs)’, PSBs shall allot the Top 20 branches (to be selected strictly in order of the level of outstanding advances) to SCAs in such a manner as to cover a minimum of 15% of total gross advances of the bank by SCAs. For other Entities (excluding Payment Banks and Core Investment Companies), SCAs/SAs shall visit and audit at least the Top 20 branches/Top 20% of the branches of the Entities (in case of Entities having less than 100 branches), to be selected in order of the level of outstanding advances, in such a manner as to cover a minimum of 15% of total gross advances of the Entities. In addition, the banking companies and NBFCs shall ensure adherence to the provisions of Section 143 (8) of the Companies Act, 2013 regarding audit of accounts of all branches.</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5. Eligibility Criteria of Auditors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Each Entity is required to appoint audit firm(s) as its SCA(s)/SA(s) fulfilling the eligibility norms as prescribed in </w:t>
      </w:r>
      <w:hyperlink r:id="rId127" w:anchor="AN1" w:history="1">
        <w:r w:rsidRPr="00BE0E8C">
          <w:rPr>
            <w:rStyle w:val="Hyperlink"/>
            <w:u w:val="none"/>
          </w:rPr>
          <w:t>Annex I</w:t>
        </w:r>
      </w:hyperlink>
      <w:r w:rsidRPr="00BE0E8C">
        <w:rPr>
          <w:color w:val="000000"/>
        </w:rPr>
        <w:t>.</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6. Independence of Auditors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6.1 For Commercial Banks (excluding RRBs) and NBFCs</w:t>
      </w:r>
      <w:hyperlink r:id="rId128" w:anchor="FT4" w:history="1">
        <w:r w:rsidRPr="00BE0E8C">
          <w:rPr>
            <w:rStyle w:val="Hyperlink"/>
            <w:u w:val="none"/>
            <w:vertAlign w:val="superscript"/>
          </w:rPr>
          <w:t>4</w:t>
        </w:r>
      </w:hyperlink>
      <w:r w:rsidRPr="00BE0E8C">
        <w:rPr>
          <w:color w:val="000000"/>
        </w:rPr>
        <w:t>, the Audit Committee of the Board (ACB)/ LMC shall monitor and assess the independence of the auditors and conflict of interest position in terms of relevant regulatory provisions, standards and best practices. Any concerns in this regard may be flagged by the ACB/LMC to the Board of Directors of the Commercial Bank (excluding RRBs)/NBFC and concerned Senior Supervisory Manager (SSM)/Regional Office (RO) of RBI.</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For UCBs/remaining NBFCs, the Board of Directors shall monitor and assess the independence of the auditors. Any concerns in this regard may be flagged by the Board of the UCB/NBFC to the concerned SSM/RO of RBI.</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6.2 In case of any concern with the Management of the Entities such as non-availability of information/non-cooperation by the Management, which may hamper the audit process, the </w:t>
      </w:r>
      <w:r w:rsidRPr="00BE0E8C">
        <w:rPr>
          <w:color w:val="000000"/>
        </w:rPr>
        <w:lastRenderedPageBreak/>
        <w:t>SCAs/SAs shall approach the Board</w:t>
      </w:r>
      <w:hyperlink r:id="rId129" w:anchor="FT5" w:history="1">
        <w:r w:rsidRPr="00BE0E8C">
          <w:rPr>
            <w:rStyle w:val="Hyperlink"/>
            <w:u w:val="none"/>
            <w:vertAlign w:val="superscript"/>
          </w:rPr>
          <w:t>5</w:t>
        </w:r>
      </w:hyperlink>
      <w:r w:rsidRPr="00BE0E8C">
        <w:rPr>
          <w:color w:val="000000"/>
        </w:rPr>
        <w:t>/ACB/LMC of the Entity, under intimation to the concerned SSM/RO of RBI.</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6.3 Concurrent auditors of the Entity should not be considered for appointment as SCAs/SAs of the same Entity. The audit of the Entity and any entity with large exposure</w:t>
      </w:r>
      <w:hyperlink r:id="rId130" w:anchor="FT6" w:history="1">
        <w:r w:rsidRPr="00BE0E8C">
          <w:rPr>
            <w:rStyle w:val="Hyperlink"/>
            <w:u w:val="none"/>
            <w:vertAlign w:val="superscript"/>
          </w:rPr>
          <w:t>6</w:t>
        </w:r>
      </w:hyperlink>
      <w:r w:rsidRPr="00BE0E8C">
        <w:rPr>
          <w:color w:val="000000"/>
        </w:rPr>
        <w:t> to the Entity for the same reference year should also be explicitly factored in while assessing independence of the auditor.</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6.4 The time gap between any non-audit works (services mentioned at Section 144 of Companies Act, 2013, Internal assignments, special assignments, etc.) by the SCAs/SAs for the Entities or any audit/non-audit works for its group entities should be at least one year, before or after its appointment as SCAs/SAs. However, during the tenure as SCA/SA, an audit firm may provide such services to the concerned Entities which may not normally result in a conflict of interest</w:t>
      </w:r>
      <w:hyperlink r:id="rId131" w:anchor="FT7" w:history="1">
        <w:r w:rsidRPr="00BE0E8C">
          <w:rPr>
            <w:rStyle w:val="Hyperlink"/>
            <w:u w:val="none"/>
            <w:vertAlign w:val="superscript"/>
          </w:rPr>
          <w:t>7</w:t>
        </w:r>
      </w:hyperlink>
      <w:r w:rsidRPr="00BE0E8C">
        <w:rPr>
          <w:color w:val="000000"/>
        </w:rPr>
        <w:t>, and Entities may take their own decision in this regard, in consultation with the Board/ACB/LMC.</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6.5 The restrictions as detailed in para 6.3 and 6.4 above, should also apply to an audit firm under the same network</w:t>
      </w:r>
      <w:hyperlink r:id="rId132" w:anchor="FT8" w:history="1">
        <w:r w:rsidRPr="00BE0E8C">
          <w:rPr>
            <w:rStyle w:val="Hyperlink"/>
            <w:u w:val="none"/>
            <w:vertAlign w:val="superscript"/>
          </w:rPr>
          <w:t>8</w:t>
        </w:r>
      </w:hyperlink>
      <w:r w:rsidRPr="00BE0E8C">
        <w:rPr>
          <w:color w:val="000000"/>
        </w:rPr>
        <w:t> of audit firms or any other audit firm having common partners.</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7. Professional Standards of SCAs/SAs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7.1 The SCAs/SAs shall be strictly guided by the relevant professional standards in discharge of their audit responsibilities with highest diligence.</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7.2 The Board</w:t>
      </w:r>
      <w:hyperlink r:id="rId133" w:anchor="FT9" w:history="1">
        <w:r w:rsidRPr="00BE0E8C">
          <w:rPr>
            <w:rStyle w:val="Hyperlink"/>
            <w:u w:val="none"/>
            <w:vertAlign w:val="superscript"/>
          </w:rPr>
          <w:t>9</w:t>
        </w:r>
      </w:hyperlink>
      <w:r w:rsidRPr="00BE0E8C">
        <w:rPr>
          <w:color w:val="000000"/>
        </w:rPr>
        <w:t>/ACB/LMC of Entities shall review the performance of SCAs/SAs on an annual basis. Any serious lapses/negligence in audit responsibilities or conduct issues on part of the SCAs/SAs or any other matter considered as relevant shall be reported</w:t>
      </w:r>
      <w:hyperlink r:id="rId134" w:anchor="FT10" w:history="1">
        <w:r w:rsidRPr="00BE0E8C">
          <w:rPr>
            <w:rStyle w:val="Hyperlink"/>
            <w:u w:val="none"/>
            <w:vertAlign w:val="superscript"/>
          </w:rPr>
          <w:t>10</w:t>
        </w:r>
      </w:hyperlink>
      <w:r w:rsidRPr="00BE0E8C">
        <w:rPr>
          <w:color w:val="000000"/>
        </w:rPr>
        <w:t> to RBI within two months from completion of the annual audit. Such reports should be sent with the approval/recommendation of the Board/ACB/LMC, with the full details of the audit firm.</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7.3 In the event of lapses in carrying out audit assignments resulting in misstatement of an Entity’s financial statements, and any violations/lapses vis-à-vis the RBI’s directions/guidelines regarding the role and responsibilities of the SCAs/SAs in relation to Entities, the SCAs/SAs would be liable to be dealt with suitably under the relevant statutory/regulatory framework.</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8. Tenure and Rotation</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8.1. In order to protect the independence of the auditors/audit firms, Entities will have to appoint the SCAs/SAs for a continuous period of three years</w:t>
      </w:r>
      <w:hyperlink r:id="rId135" w:anchor="FT11" w:history="1">
        <w:r w:rsidRPr="00BE0E8C">
          <w:rPr>
            <w:rStyle w:val="Hyperlink"/>
            <w:u w:val="none"/>
            <w:vertAlign w:val="superscript"/>
          </w:rPr>
          <w:t>11</w:t>
        </w:r>
      </w:hyperlink>
      <w:r w:rsidRPr="00BE0E8C">
        <w:rPr>
          <w:color w:val="000000"/>
        </w:rPr>
        <w:t xml:space="preserve">, subject to the firms satisfying the eligibility norms each year. Further, Commercial Banks (excluding RRBs) and UCBs can remove the audit firms during the above period only with the prior approval of the concerned office of RBI (Department of Supervision), as applicable for prior approval for appointment, as mentioned at Para 3.2 of this circular. NBFCs removing the SCAs/SAs before completion of three </w:t>
      </w:r>
      <w:proofErr w:type="gramStart"/>
      <w:r w:rsidRPr="00BE0E8C">
        <w:rPr>
          <w:color w:val="000000"/>
        </w:rPr>
        <w:t>years</w:t>
      </w:r>
      <w:proofErr w:type="gramEnd"/>
      <w:r w:rsidRPr="00BE0E8C">
        <w:rPr>
          <w:color w:val="000000"/>
        </w:rPr>
        <w:t xml:space="preserve"> tenure shall inform concerned SSM/RO at RBI about it, along with reasons/justification for the same, within a month of such a decision being taken.</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8.2 An audit firm would not be eligible for reappointment in the same Entity for six years (two tenures) after completion of full or part of one term of the audit tenure</w:t>
      </w:r>
      <w:hyperlink r:id="rId136" w:anchor="FT12" w:history="1">
        <w:r w:rsidRPr="00BE0E8C">
          <w:rPr>
            <w:rStyle w:val="Hyperlink"/>
            <w:u w:val="none"/>
            <w:vertAlign w:val="superscript"/>
          </w:rPr>
          <w:t>12</w:t>
        </w:r>
      </w:hyperlink>
      <w:r w:rsidRPr="00BE0E8C">
        <w:rPr>
          <w:color w:val="000000"/>
        </w:rPr>
        <w:t>. However, audit firms can continue to undertake statutory audit of other Entities.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8.3. One audit firm can concurrently take up statutory audit of a maximum of four Commercial Banks [including not more than one PSB or one All India Financial Institution (NABARD, SIDBI, NHB, EXIM Bank) or RBI], eight UCBs and eight NBFCs during a particular year, subject to compliance with required eligibility criteria and other conditions for each Entity and within overall ceiling prescribed by any other statutes or rules. For clarity, the limits prescribed for UCBs exclude audit of other co-operative societies by the same audit firm. For the purpose of this circular, a group of audit firms having common partners and/or under the same network, will be considered as one entity and they will be considered for allotment of SCA/SA </w:t>
      </w:r>
      <w:r w:rsidRPr="00BE0E8C">
        <w:rPr>
          <w:color w:val="000000"/>
        </w:rPr>
        <w:lastRenderedPageBreak/>
        <w:t>accordingly. Shared/Sub-contracted audit by any other/associate audit firm under the same network of audit firms is not permissible. The incoming audit firm shall not be eligible if such audit firm is associated with the outgoing auditor or audit firm under the same network of audit firms.</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9. Audit Fees and Expenses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9.1 The audit fees for SCAs/SAs of all the Entities shall be decided in terms of the relevant statutory/regulatory provisions. Public Sector Banks will continue to be guided by relevant RBI instructions in the matter.</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9.2 The audit fees for SCAs/SAs of all the Entities shall be reasonable and commensurate with the scope and coverage of audit, size and spread of assets, accounting and administrative units, complexity of transactions, level of computerization, identified risks in financial reporting, etc.</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9.3 The Board/ACB/LMC of Entities shall make recommendation to the competent authority as per the relevant statutory/regulatory instructions for fixing audit fees of SCAs/SAs.</w:t>
      </w:r>
    </w:p>
    <w:p w:rsidR="00AB0AB3" w:rsidRPr="00BE0E8C" w:rsidRDefault="00AB0AB3" w:rsidP="00AB0AB3">
      <w:pPr>
        <w:pStyle w:val="head"/>
        <w:shd w:val="clear" w:color="auto" w:fill="FFFFFF"/>
        <w:spacing w:before="0" w:beforeAutospacing="0" w:after="0" w:afterAutospacing="0"/>
        <w:jc w:val="both"/>
        <w:rPr>
          <w:b/>
          <w:bCs/>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10. Statutory Audit Policy and Appointment Procedure</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10.1 Each Entity shall formulate a Board/LMC Approved Policy to be hosted on its official website/public domain and formulate necessary procedure thereunder to be followed for appointment of SCAs/SAs. Apart from conforming to all relevant statutory/regulatory requirements in addition to these instructions, this should afford necessary transparency and objectivity for most key aspects of this important assurance function.</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10.2 Guidelines on minimum procedural requirements are given at </w:t>
      </w:r>
      <w:hyperlink r:id="rId137" w:anchor="AN2" w:history="1">
        <w:r w:rsidRPr="00BE0E8C">
          <w:rPr>
            <w:rStyle w:val="Hyperlink"/>
            <w:u w:val="none"/>
          </w:rPr>
          <w:t>Annex II</w:t>
        </w:r>
      </w:hyperlink>
      <w:r w:rsidRPr="00BE0E8C">
        <w:rPr>
          <w:color w:val="000000"/>
        </w:rPr>
        <w:t>.</w:t>
      </w:r>
    </w:p>
    <w:p w:rsidR="00AB0AB3" w:rsidRPr="00BE0E8C" w:rsidRDefault="00AB0AB3" w:rsidP="00AB0AB3">
      <w:pPr>
        <w:pStyle w:val="NormalWeb"/>
        <w:pBdr>
          <w:bottom w:val="single" w:sz="12" w:space="1" w:color="auto"/>
        </w:pBdr>
        <w:shd w:val="clear" w:color="auto" w:fill="FFFFFF"/>
        <w:spacing w:before="0" w:beforeAutospacing="0" w:after="0" w:afterAutospacing="0"/>
        <w:jc w:val="both"/>
        <w:rPr>
          <w:color w:val="000000"/>
        </w:rPr>
      </w:pPr>
    </w:p>
    <w:p w:rsidR="00AB0AB3" w:rsidRPr="00BE0E8C" w:rsidRDefault="00562D95" w:rsidP="00AB0AB3">
      <w:pPr>
        <w:pStyle w:val="NormalWeb"/>
        <w:pBdr>
          <w:bottom w:val="single" w:sz="12" w:space="1" w:color="auto"/>
        </w:pBdr>
        <w:shd w:val="clear" w:color="auto" w:fill="FFFFFF"/>
        <w:spacing w:before="0" w:beforeAutospacing="0" w:after="0" w:afterAutospacing="0"/>
        <w:jc w:val="both"/>
        <w:rPr>
          <w:color w:val="000000"/>
        </w:rPr>
      </w:pPr>
      <w:hyperlink r:id="rId138" w:history="1">
        <w:r w:rsidR="00AB0AB3" w:rsidRPr="00BE0E8C">
          <w:rPr>
            <w:rStyle w:val="Hyperlink"/>
          </w:rPr>
          <w:t>https://www.rbi.org.in/Scripts/NotificationUser.aspx?Id=12079&amp;Mode=0</w:t>
        </w:r>
      </w:hyperlink>
    </w:p>
    <w:p w:rsidR="00AB0AB3" w:rsidRDefault="00AB0AB3" w:rsidP="00E03DB7"/>
    <w:p w:rsidR="00AB0AB3" w:rsidRDefault="00AB0AB3" w:rsidP="00E03DB7"/>
    <w:p w:rsidR="00AB0AB3" w:rsidRPr="00BE0E8C" w:rsidRDefault="00AB0AB3" w:rsidP="00AB0AB3">
      <w:pPr>
        <w:pStyle w:val="NormalWeb"/>
        <w:shd w:val="clear" w:color="auto" w:fill="FFFFFF"/>
        <w:spacing w:before="0" w:beforeAutospacing="0" w:after="0" w:afterAutospacing="0"/>
        <w:jc w:val="both"/>
        <w:rPr>
          <w:b/>
          <w:bCs/>
          <w:color w:val="000000"/>
        </w:rPr>
      </w:pPr>
      <w:r w:rsidRPr="00BE0E8C">
        <w:rPr>
          <w:b/>
          <w:bCs/>
          <w:color w:val="000000"/>
        </w:rPr>
        <w:t>Corporate Governance in Banks - Appointment of Directors and Constitution of Committees of the Board</w:t>
      </w:r>
    </w:p>
    <w:p w:rsidR="00AB0AB3" w:rsidRPr="00BE0E8C" w:rsidRDefault="00AB0AB3" w:rsidP="00AB0AB3">
      <w:pPr>
        <w:pStyle w:val="NormalWeb"/>
        <w:shd w:val="clear" w:color="auto" w:fill="FFFFFF"/>
        <w:spacing w:before="0" w:beforeAutospacing="0" w:after="0" w:afterAutospacing="0"/>
        <w:jc w:val="both"/>
        <w:rPr>
          <w:b/>
          <w:color w:val="000000"/>
        </w:rPr>
      </w:pPr>
    </w:p>
    <w:p w:rsidR="00AB0AB3" w:rsidRPr="00BE0E8C" w:rsidRDefault="00AB0AB3" w:rsidP="00AB0AB3">
      <w:pPr>
        <w:pStyle w:val="NormalWeb"/>
        <w:shd w:val="clear" w:color="auto" w:fill="FFFFFF"/>
        <w:spacing w:before="0" w:beforeAutospacing="0" w:after="0" w:afterAutospacing="0"/>
        <w:jc w:val="both"/>
        <w:rPr>
          <w:b/>
          <w:color w:val="000000"/>
        </w:rPr>
      </w:pPr>
      <w:r w:rsidRPr="00BE0E8C">
        <w:rPr>
          <w:b/>
          <w:color w:val="000000"/>
        </w:rPr>
        <w:t>RBI/2021-22/24 DOR.GOV.REC.8/29.67.001/2021-22</w:t>
      </w:r>
      <w:r w:rsidRPr="00BE0E8C">
        <w:rPr>
          <w:b/>
          <w:color w:val="000000"/>
        </w:rPr>
        <w:tab/>
      </w:r>
      <w:r w:rsidRPr="00BE0E8C">
        <w:rPr>
          <w:b/>
          <w:color w:val="000000"/>
        </w:rPr>
        <w:tab/>
      </w:r>
      <w:r w:rsidRPr="00BE0E8C">
        <w:rPr>
          <w:b/>
          <w:color w:val="000000"/>
        </w:rPr>
        <w:tab/>
        <w:t>April 26, 2021</w:t>
      </w:r>
    </w:p>
    <w:p w:rsidR="00AB0AB3" w:rsidRPr="00BE0E8C" w:rsidRDefault="00AB0AB3" w:rsidP="00AB0AB3">
      <w:pPr>
        <w:pStyle w:val="NormalWeb"/>
        <w:shd w:val="clear" w:color="auto" w:fill="FFFFFF"/>
        <w:spacing w:before="0" w:beforeAutospacing="0" w:after="0" w:afterAutospacing="0"/>
        <w:jc w:val="both"/>
        <w:rPr>
          <w:i/>
          <w:color w:val="000000"/>
          <w:shd w:val="clear" w:color="auto" w:fill="FFFFFF"/>
        </w:rPr>
      </w:pPr>
    </w:p>
    <w:p w:rsidR="00AB0AB3" w:rsidRPr="00BE0E8C" w:rsidRDefault="00AB0AB3" w:rsidP="00AB0AB3">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To Commercial Banks (as per applicability)</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A Discussion Paper on ‘</w:t>
      </w:r>
      <w:hyperlink r:id="rId139" w:tgtFrame="_blank" w:history="1">
        <w:r w:rsidRPr="00BE0E8C">
          <w:rPr>
            <w:rStyle w:val="Hyperlink"/>
            <w:u w:val="none"/>
          </w:rPr>
          <w:t>Governance in Commercial Banks in India</w:t>
        </w:r>
      </w:hyperlink>
      <w:r w:rsidRPr="00BE0E8C">
        <w:rPr>
          <w:color w:val="000000"/>
        </w:rPr>
        <w:t>’ was issued by the Reserve Bank on June 11, 2020 to review the framework for governance in the commercial banks. Based on the feedback received, a comprehensive review of the framework has been done, and a Master Direction on Governance will be issued in due course. In order to address a few operative aspects received through such feedback, it has been decided to issue instructions with regard to the Chair and meetings of the board, composition of certain committees of the board, age, tenure and remuneration of directors, and appointment of the whole-time directors (WTDs).</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Applicability</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2. The revised instructions would be applicable to all the Private Sector Banks including Small Finance Banks (SFBs) and wholly owned subsidiaries of Foreign Banks. In respect of State Bank of India and Nationalised Banks, these guidelines would apply to the extent the stipulations are not inconsistent with provisions of specific statutes applicable to these banks or instructions issued under the statutes. The contents of this circular must be read along with other relevant governing statutes and shall be applicable notwithstanding anything to the </w:t>
      </w:r>
      <w:r w:rsidRPr="00BE0E8C">
        <w:rPr>
          <w:color w:val="000000"/>
        </w:rPr>
        <w:lastRenderedPageBreak/>
        <w:t>contrary contained in the licensing conditions, notifications, directions, regulations, guidelines, instructions, etc., issued by the Reserve Bank before the issue of this circular. The circular will not be applicable in the case of foreign banks operating as branches in India. The applicability to other commercial banks viz., Local Area Banks, Payments Banks and Regional Rural Banks will be notified separately.</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Chair and meetings of the Board</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3. The Chair of the board shall be an independent director. In the absence of the Chair of the board, the meetings of the board shall be chaired by an independent director. The quorum for the board meetings shall be one-third of the total strength of the board or three directors, whichever is higher. At least half of the directors attending the meetings of the board shall be independent directors.</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Committees of the Board</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(a) Audit Committee of the Board (ACB)</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4. The ACB shall be constituted with only non-executive directors (NEDs). The Chair of the board shall not be a member of the ACB. The ACB shall meet with a quorum of three members. At least two-thirds of the members attending the meeting of the ACB shall be independent directors</w:t>
      </w:r>
      <w:hyperlink r:id="rId140" w:anchor="F1" w:history="1">
        <w:r w:rsidRPr="00BE0E8C">
          <w:rPr>
            <w:rStyle w:val="Hyperlink"/>
            <w:u w:val="none"/>
            <w:vertAlign w:val="superscript"/>
          </w:rPr>
          <w:t>1</w:t>
        </w:r>
      </w:hyperlink>
      <w:r w:rsidRPr="00BE0E8C">
        <w:rPr>
          <w:color w:val="000000"/>
        </w:rPr>
        <w:t>. The ACB shall meet at least once in a quarter. The meetings of the ACB shall be chaired by an independent director who shall not chair any other committee of the Board. The Chair of the ACB shall not be a member of any committee of the board which has a mandate of sanctioning credit exposures. All members should have the ability to understand all financial statements as well as the notes/ reports attached thereto and at least one member shall have requisite professional expertise/ qualification in financial accounting or financial management [e.g., experience in application of accounting standards and practices, including internal controls around it].</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(b) Risk Management Committee of the Board (RMCB)</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5. The board shall constitute an RMCB with a majority of NEDs. The RMCB shall meet with a quorum of three members. At least half of the members attending the meeting of the RMCB shall be independent directors of which at least one member shall have professional expertise/ qualification in risk management</w:t>
      </w:r>
      <w:hyperlink r:id="rId141" w:anchor="F2" w:history="1">
        <w:r w:rsidRPr="00BE0E8C">
          <w:rPr>
            <w:rStyle w:val="Hyperlink"/>
            <w:u w:val="none"/>
            <w:vertAlign w:val="superscript"/>
          </w:rPr>
          <w:t>2</w:t>
        </w:r>
      </w:hyperlink>
      <w:r w:rsidRPr="00BE0E8C">
        <w:rPr>
          <w:color w:val="000000"/>
        </w:rPr>
        <w:t>. Meetings of RMCB shall be chaired by an independent director who shall not be a Chair of the board or any other committee of the board. The Chair of the board may be a member of the RMCB only if he/she has the requisite risk management expertise. The RMCB shall meet at least once in each quarter.</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(c) Nomination and Remuneration Committee (NRC)</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6. The board shall constitute an NRC made up of only NEDs. The NRC shall meet with a quorum of three members. At least half of the members attending the meeting of the NRC shall be independent directors, of which one shall be a member of the RMCB. The meetings of the NRC shall be chaired by an independent director. The Chair of the board shall not chair the NRC. The meeting of NRC may be held as and when required</w:t>
      </w:r>
      <w:hyperlink r:id="rId142" w:anchor="F3" w:history="1">
        <w:r w:rsidRPr="00BE0E8C">
          <w:rPr>
            <w:rStyle w:val="Hyperlink"/>
            <w:u w:val="none"/>
            <w:vertAlign w:val="superscript"/>
          </w:rPr>
          <w:t>3</w:t>
        </w:r>
      </w:hyperlink>
      <w:r w:rsidRPr="00BE0E8C">
        <w:rPr>
          <w:color w:val="000000"/>
        </w:rPr>
        <w:t>.</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Age and tenure of NEDs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7. The upper age limit for NEDs, including the Chair of the board, shall be 75 years and after attaining the age of 75 years no person can continue in these positions</w:t>
      </w:r>
      <w:hyperlink r:id="rId143" w:anchor="F4" w:history="1">
        <w:r w:rsidRPr="00BE0E8C">
          <w:rPr>
            <w:rStyle w:val="Hyperlink"/>
            <w:u w:val="none"/>
            <w:vertAlign w:val="superscript"/>
          </w:rPr>
          <w:t>4</w:t>
        </w:r>
      </w:hyperlink>
      <w:r w:rsidRPr="00BE0E8C">
        <w:rPr>
          <w:color w:val="000000"/>
        </w:rPr>
        <w:t>.</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8. The total tenure of an NED, continuously or otherwise, on the board of a bank, shall not exceed eight years. After completing eight years on the board of a bank the person may be </w:t>
      </w:r>
      <w:r w:rsidRPr="00BE0E8C">
        <w:rPr>
          <w:color w:val="000000"/>
        </w:rPr>
        <w:lastRenderedPageBreak/>
        <w:t>considered for re-appointment only after a minimum gap of three years.</w:t>
      </w:r>
      <w:hyperlink r:id="rId144" w:anchor="F5" w:history="1">
        <w:r w:rsidRPr="00BE0E8C">
          <w:rPr>
            <w:rStyle w:val="Hyperlink"/>
            <w:u w:val="none"/>
            <w:vertAlign w:val="superscript"/>
          </w:rPr>
          <w:t>5</w:t>
        </w:r>
      </w:hyperlink>
      <w:r w:rsidRPr="00BE0E8C">
        <w:rPr>
          <w:color w:val="000000"/>
        </w:rPr>
        <w:t> This will not preclude him/her from being appointed as a director in another bank subject to meeting the requirements.</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Remuneration of NEDs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9. In addition to sitting fees and expenses related to attending meetings of the board and its committees as per extant statutory norms/ practices, the bank may provide for payment of compensation to NEDs in the form of a fixed remuneration commensurate with an individual director’s responsibilities and demands on time and which are considered sufficient to attract qualified competent individuals. However, such fixed remuneration for an NED, other than the Chair of the board, shall not exceed ₹20 lakh per annum</w:t>
      </w:r>
      <w:hyperlink r:id="rId145" w:anchor="F6" w:history="1">
        <w:r w:rsidRPr="00BE0E8C">
          <w:rPr>
            <w:rStyle w:val="Hyperlink"/>
            <w:u w:val="none"/>
            <w:vertAlign w:val="superscript"/>
          </w:rPr>
          <w:t>6</w:t>
        </w:r>
      </w:hyperlink>
      <w:r w:rsidRPr="00BE0E8C">
        <w:rPr>
          <w:color w:val="000000"/>
        </w:rPr>
        <w:t>.</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Tenure of MD&amp;CEO and WTDs</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10. Subject to the statutory approvals required from time to time, the post of the MD&amp;CEO or WTD cannot be held by the same incumbent for more than 15 years. Thereafter, the individual will be eligible for re-appointment as MD&amp;CEO or WTD in the same bank, if considered necessary and desirable by the board, after a minimum gap of three years, subject to meeting other conditions. During this three-year cooling period, the individual shall not be appointed or associated with the bank or its group entities in any capacity, either directly or indirectly.</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11. It is clarified that the extant instructions on upper age limit for MD&amp;CEO and WTDs in the private sector banks would continue and no person can continue as MD&amp;CEO or WTD beyond the age of 70 years. Within the overall limit of 70 years, as part of their internal policy, individual bank's Boards are free to prescribe a lower retirement age for the WTDs, including the MD&amp;CEO.</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 xml:space="preserve">12. MD&amp;CEO or WTD who is also a promoter/ major shareholder, cannot hold these posts for more than 12 years. However, in extraordinary circumstances, at the sole discretion of the Reserve Bank such MD&amp;CEO or WTDs may be allowed to continue up to 15 years. While examining the matter of re-appointment of such MD&amp;CEOs or WTDs within the 12/15 </w:t>
      </w:r>
      <w:proofErr w:type="gramStart"/>
      <w:r w:rsidRPr="00BE0E8C">
        <w:rPr>
          <w:color w:val="000000"/>
        </w:rPr>
        <w:t>years</w:t>
      </w:r>
      <w:proofErr w:type="gramEnd"/>
      <w:r w:rsidRPr="00BE0E8C">
        <w:rPr>
          <w:color w:val="000000"/>
        </w:rPr>
        <w:t xml:space="preserve"> period, the level of progress and adherence to the milestones for dilution of promoters’ shareholding in the bank shall also be factored in by the Reserve Bank.</w:t>
      </w:r>
    </w:p>
    <w:p w:rsidR="00AB0AB3" w:rsidRPr="00BE0E8C" w:rsidRDefault="00AB0AB3" w:rsidP="00AB0AB3">
      <w:pPr>
        <w:pStyle w:val="NormalWeb"/>
        <w:shd w:val="clear" w:color="auto" w:fill="FFFFFF"/>
        <w:spacing w:before="0" w:beforeAutospacing="0" w:after="0" w:afterAutospacing="0"/>
        <w:jc w:val="both"/>
        <w:rPr>
          <w:color w:val="000000"/>
        </w:rPr>
      </w:pPr>
    </w:p>
    <w:p w:rsidR="00AB0AB3" w:rsidRPr="00BE0E8C" w:rsidRDefault="00AB0AB3" w:rsidP="00AB0AB3">
      <w:pPr>
        <w:pStyle w:val="head"/>
        <w:shd w:val="clear" w:color="auto" w:fill="FFFFFF"/>
        <w:spacing w:before="0" w:beforeAutospacing="0" w:after="0" w:afterAutospacing="0"/>
        <w:jc w:val="both"/>
        <w:rPr>
          <w:b/>
          <w:bCs/>
          <w:color w:val="000000"/>
        </w:rPr>
      </w:pPr>
      <w:r w:rsidRPr="00BE0E8C">
        <w:rPr>
          <w:b/>
          <w:bCs/>
          <w:color w:val="000000"/>
        </w:rPr>
        <w:t>Transition Arrangement</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13. While the instructions shall come into effect from the date of issue of this circular, in order to enable smooth transition to the revised requirements, banks are permitted to comply with these instructions latest by October 01, 2021. Specifically:</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(i) The Chair of board who is not an independent director on the date of issue of this circular shall be allowed to complete the current term as Chair as already approved by the Reserve Bank.</w:t>
      </w:r>
    </w:p>
    <w:p w:rsidR="00AB0AB3" w:rsidRPr="00BE0E8C" w:rsidRDefault="00AB0AB3" w:rsidP="00AB0AB3">
      <w:pPr>
        <w:pStyle w:val="NormalWeb"/>
        <w:shd w:val="clear" w:color="auto" w:fill="FFFFFF"/>
        <w:spacing w:before="0" w:beforeAutospacing="0" w:after="0" w:afterAutospacing="0"/>
        <w:jc w:val="both"/>
        <w:rPr>
          <w:color w:val="000000"/>
        </w:rPr>
      </w:pPr>
      <w:r w:rsidRPr="00BE0E8C">
        <w:rPr>
          <w:color w:val="000000"/>
        </w:rPr>
        <w:t>(ii) Banks with MD&amp;CEOs or WTDs who have already completed 12/15 years as MD&amp;CEO or WTD, on the date these instructions coming to effect, shall be allowed to complete their current term as already approved by the Reserve Bank.</w:t>
      </w:r>
    </w:p>
    <w:p w:rsidR="00AB0AB3" w:rsidRPr="00BE0E8C" w:rsidRDefault="00AB0AB3" w:rsidP="00AB0AB3">
      <w:pPr>
        <w:pStyle w:val="NormalWeb"/>
        <w:pBdr>
          <w:bottom w:val="single" w:sz="12" w:space="1" w:color="auto"/>
        </w:pBdr>
        <w:shd w:val="clear" w:color="auto" w:fill="FFFFFF"/>
        <w:spacing w:before="0" w:beforeAutospacing="0" w:after="0" w:afterAutospacing="0"/>
        <w:jc w:val="both"/>
        <w:rPr>
          <w:color w:val="000000"/>
        </w:rPr>
      </w:pPr>
    </w:p>
    <w:p w:rsidR="00AB0AB3" w:rsidRPr="00BE0E8C" w:rsidRDefault="00562D95" w:rsidP="00AB0AB3">
      <w:pPr>
        <w:pStyle w:val="NormalWeb"/>
        <w:pBdr>
          <w:bottom w:val="single" w:sz="12" w:space="1" w:color="auto"/>
        </w:pBdr>
        <w:shd w:val="clear" w:color="auto" w:fill="FFFFFF"/>
        <w:spacing w:before="0" w:beforeAutospacing="0" w:after="0" w:afterAutospacing="0"/>
        <w:jc w:val="both"/>
        <w:rPr>
          <w:color w:val="000000"/>
        </w:rPr>
      </w:pPr>
      <w:hyperlink r:id="rId146" w:history="1">
        <w:r w:rsidR="00AB0AB3" w:rsidRPr="00BE0E8C">
          <w:rPr>
            <w:rStyle w:val="Hyperlink"/>
          </w:rPr>
          <w:t>https://www.rbi.org.in/Scripts/NotificationUser.aspx?Id=12078&amp;Mode=0</w:t>
        </w:r>
      </w:hyperlink>
    </w:p>
    <w:p w:rsidR="00AB0AB3" w:rsidRDefault="00AB0AB3" w:rsidP="00E03DB7"/>
    <w:p w:rsidR="00AB0AB3" w:rsidRDefault="00AB0AB3" w:rsidP="00E03DB7"/>
    <w:p w:rsidR="00AB0AB3" w:rsidRPr="00BE0E8C" w:rsidRDefault="00AB0AB3" w:rsidP="00AB0AB3">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Exemptions</w:t>
      </w:r>
    </w:p>
    <w:p w:rsidR="00AB0AB3" w:rsidRPr="00BE0E8C" w:rsidRDefault="00AB0AB3" w:rsidP="00AB0AB3">
      <w:pPr>
        <w:pStyle w:val="NormalWeb"/>
        <w:shd w:val="clear" w:color="auto" w:fill="FFFFFF"/>
        <w:spacing w:before="0" w:beforeAutospacing="0" w:after="0" w:afterAutospacing="0"/>
        <w:jc w:val="both"/>
        <w:rPr>
          <w:b/>
          <w:color w:val="000000"/>
        </w:rPr>
      </w:pPr>
    </w:p>
    <w:p w:rsidR="00AB0AB3" w:rsidRPr="00BE0E8C" w:rsidRDefault="00AB0AB3" w:rsidP="00AB0AB3">
      <w:pPr>
        <w:pStyle w:val="NormalWeb"/>
        <w:shd w:val="clear" w:color="auto" w:fill="FFFFFF"/>
        <w:spacing w:before="0" w:beforeAutospacing="0" w:after="0" w:afterAutospacing="0"/>
        <w:jc w:val="both"/>
        <w:rPr>
          <w:b/>
          <w:color w:val="000000"/>
        </w:rPr>
      </w:pPr>
      <w:r w:rsidRPr="00BE0E8C">
        <w:rPr>
          <w:b/>
          <w:color w:val="000000"/>
        </w:rPr>
        <w:t>RBI/2020-21/104 DOR.No.CRE.BC.45/21.01.003/2020-21                   February 24, 2021</w:t>
      </w:r>
    </w:p>
    <w:p w:rsidR="00AB0AB3" w:rsidRPr="00BE0E8C" w:rsidRDefault="00AB0AB3" w:rsidP="00AB0AB3">
      <w:pPr>
        <w:pStyle w:val="NormalWeb"/>
        <w:shd w:val="clear" w:color="auto" w:fill="FFFFFF"/>
        <w:spacing w:before="0" w:beforeAutospacing="0" w:after="0" w:afterAutospacing="0"/>
        <w:jc w:val="both"/>
        <w:rPr>
          <w:color w:val="000000"/>
          <w:shd w:val="clear" w:color="auto" w:fill="FFFFFF"/>
        </w:rPr>
      </w:pPr>
    </w:p>
    <w:p w:rsidR="00AB0AB3" w:rsidRPr="00BE0E8C" w:rsidRDefault="00AB0AB3" w:rsidP="00AB0AB3">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Small Finance Banks, Payments Banks, Local Area Banks and Regional Rural Banks)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w:t>
      </w:r>
      <w:hyperlink r:id="rId147" w:tgtFrame="_blank" w:history="1">
        <w:r w:rsidRPr="00BE0E8C">
          <w:rPr>
            <w:rFonts w:ascii="Times New Roman" w:eastAsia="Times New Roman" w:hAnsi="Times New Roman" w:cs="Times New Roman"/>
            <w:color w:val="0000FF"/>
            <w:sz w:val="24"/>
            <w:szCs w:val="24"/>
            <w:u w:val="single"/>
            <w:lang w:eastAsia="en-IN"/>
          </w:rPr>
          <w:t>circular No.DBR.No.BP.BC.43/21.01.003/2018-19 dated June 03, 2019</w:t>
        </w:r>
      </w:hyperlink>
      <w:r w:rsidRPr="00BE0E8C">
        <w:rPr>
          <w:rFonts w:ascii="Times New Roman" w:eastAsia="Times New Roman" w:hAnsi="Times New Roman" w:cs="Times New Roman"/>
          <w:color w:val="000000"/>
          <w:sz w:val="24"/>
          <w:szCs w:val="24"/>
          <w:lang w:eastAsia="en-IN"/>
        </w:rPr>
        <w:t> on Large Exposures Framework (LEF)</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Paragraph 3 of the Annex to the above circular specifies the exposures that are exempt from the LEF. On a review, it has been decided to further exempt the following exposures from the LEF:</w:t>
      </w:r>
    </w:p>
    <w:p w:rsidR="00AB0AB3" w:rsidRPr="00BE0E8C" w:rsidRDefault="00AB0AB3" w:rsidP="00AB0AB3">
      <w:pP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Exposures to foreign sovereigns or their central banks that are:</w:t>
      </w:r>
    </w:p>
    <w:p w:rsidR="00AB0AB3" w:rsidRPr="00BE0E8C" w:rsidRDefault="00AB0AB3" w:rsidP="00AB0AB3">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subject to a 0% risk weight under Table 2 of paragraph 5.3.1 of the </w:t>
      </w:r>
      <w:hyperlink r:id="rId148" w:tgtFrame="_blank" w:history="1">
        <w:r w:rsidRPr="00BE0E8C">
          <w:rPr>
            <w:rFonts w:ascii="Times New Roman" w:eastAsia="Times New Roman" w:hAnsi="Times New Roman" w:cs="Times New Roman"/>
            <w:color w:val="0000FF"/>
            <w:sz w:val="24"/>
            <w:szCs w:val="24"/>
            <w:u w:val="single"/>
            <w:lang w:eastAsia="en-IN"/>
          </w:rPr>
          <w:t>Master Circular – Basel III Capital Regulations dated July 1, 2015</w:t>
        </w:r>
      </w:hyperlink>
      <w:r w:rsidRPr="00BE0E8C">
        <w:rPr>
          <w:rFonts w:ascii="Times New Roman" w:eastAsia="Times New Roman" w:hAnsi="Times New Roman" w:cs="Times New Roman"/>
          <w:color w:val="000000"/>
          <w:sz w:val="24"/>
          <w:szCs w:val="24"/>
          <w:lang w:eastAsia="en-IN"/>
        </w:rPr>
        <w:t>, as modified vide circular dated October 8, 2015; and,</w:t>
      </w:r>
    </w:p>
    <w:p w:rsidR="00AB0AB3" w:rsidRPr="00BE0E8C" w:rsidRDefault="00AB0AB3" w:rsidP="00AB0AB3">
      <w:pPr>
        <w:numPr>
          <w:ilvl w:val="0"/>
          <w:numId w:val="35"/>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denominated in the domestic currency of that sovereign and met out of resources of the same currency.</w:t>
      </w:r>
    </w:p>
    <w:p w:rsidR="00AB0AB3" w:rsidRDefault="00AB0AB3" w:rsidP="00E03DB7"/>
    <w:p w:rsidR="00AB0AB3" w:rsidRDefault="00AB0AB3" w:rsidP="00E03DB7"/>
    <w:p w:rsidR="00AB0AB3" w:rsidRPr="00BE0E8C" w:rsidRDefault="00AB0AB3" w:rsidP="00AB0AB3">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AB0AB3" w:rsidRPr="00BE0E8C" w:rsidRDefault="00AB0AB3" w:rsidP="00AB0AB3">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49"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AB0AB3" w:rsidRPr="00BE0E8C" w:rsidRDefault="00AB0AB3" w:rsidP="00AB0AB3">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AB0AB3" w:rsidRPr="00BE0E8C" w:rsidRDefault="00AB0AB3" w:rsidP="00AB0AB3">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AB0AB3" w:rsidRPr="00BE0E8C" w:rsidRDefault="00AB0AB3" w:rsidP="00AB0AB3">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Normal employee-related loans to Managing Directors / Chief Executive Officers of UCBs;</w:t>
      </w:r>
    </w:p>
    <w:p w:rsidR="00AB0AB3" w:rsidRPr="00BE0E8C" w:rsidRDefault="00AB0AB3" w:rsidP="00AB0AB3">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AB0AB3" w:rsidRPr="00BE0E8C" w:rsidRDefault="00AB0AB3" w:rsidP="00AB0AB3">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AB0AB3" w:rsidRPr="00BE0E8C" w:rsidRDefault="00AB0AB3" w:rsidP="00AB0AB3">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AB0AB3" w:rsidRPr="00BE0E8C" w:rsidRDefault="00AB0AB3" w:rsidP="00AB0AB3">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AB0AB3" w:rsidRPr="00BE0E8C" w:rsidRDefault="00AB0AB3" w:rsidP="00AB0AB3">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AB0AB3" w:rsidRPr="00BE0E8C" w:rsidRDefault="00AB0AB3" w:rsidP="00AB0AB3">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AB0AB3" w:rsidRPr="00BE0E8C" w:rsidRDefault="00AB0AB3" w:rsidP="00AB0AB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AB0AB3" w:rsidRPr="00BE0E8C" w:rsidRDefault="00AB0AB3" w:rsidP="00AB0AB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AB0AB3" w:rsidRPr="00BE0E8C" w:rsidRDefault="00AB0AB3" w:rsidP="00AB0AB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50"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AB0AB3" w:rsidRPr="00BE0E8C" w:rsidRDefault="00AB0AB3" w:rsidP="00AB0AB3">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AB0AB3" w:rsidRDefault="00562D95" w:rsidP="00AB0AB3">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51" w:history="1">
        <w:r w:rsidR="00AB0AB3"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AB0AB3" w:rsidRDefault="00AB0AB3" w:rsidP="00E03DB7"/>
    <w:sectPr w:rsidR="00AB0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76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593540C"/>
    <w:multiLevelType w:val="hybridMultilevel"/>
    <w:tmpl w:val="374CDA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936F64"/>
    <w:multiLevelType w:val="multilevel"/>
    <w:tmpl w:val="1CB813C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15:restartNumberingAfterBreak="0">
    <w:nsid w:val="1EE5605B"/>
    <w:multiLevelType w:val="hybridMultilevel"/>
    <w:tmpl w:val="973EAB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FA3740"/>
    <w:multiLevelType w:val="multilevel"/>
    <w:tmpl w:val="A2982F8A"/>
    <w:lvl w:ilvl="0">
      <w:start w:val="1"/>
      <w:numFmt w:val="upp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7"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007606"/>
    <w:multiLevelType w:val="hybridMultilevel"/>
    <w:tmpl w:val="8FB0F85A"/>
    <w:lvl w:ilvl="0" w:tplc="40090019">
      <w:start w:val="1"/>
      <w:numFmt w:val="lowerLetter"/>
      <w:lvlText w:val="%1."/>
      <w:lvlJc w:val="left"/>
      <w:pPr>
        <w:ind w:left="720" w:hanging="360"/>
      </w:pPr>
    </w:lvl>
    <w:lvl w:ilvl="1" w:tplc="4C46A372">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3" w15:restartNumberingAfterBreak="0">
    <w:nsid w:val="3CA67D62"/>
    <w:multiLevelType w:val="multilevel"/>
    <w:tmpl w:val="DB6C7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DC4FE4"/>
    <w:multiLevelType w:val="hybridMultilevel"/>
    <w:tmpl w:val="572CCDD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7BA643A"/>
    <w:multiLevelType w:val="multilevel"/>
    <w:tmpl w:val="AB489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ABB3CB7"/>
    <w:multiLevelType w:val="hybridMultilevel"/>
    <w:tmpl w:val="E6D61E3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B29361F"/>
    <w:multiLevelType w:val="multilevel"/>
    <w:tmpl w:val="01661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15:restartNumberingAfterBreak="0">
    <w:nsid w:val="56E95E26"/>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27" w15:restartNumberingAfterBreak="0">
    <w:nsid w:val="6BF55EE6"/>
    <w:multiLevelType w:val="multilevel"/>
    <w:tmpl w:val="B1F21D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8" w15:restartNumberingAfterBreak="0">
    <w:nsid w:val="6CF363C0"/>
    <w:multiLevelType w:val="multilevel"/>
    <w:tmpl w:val="181403C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9"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68527EC"/>
    <w:multiLevelType w:val="hybridMultilevel"/>
    <w:tmpl w:val="8AECDFF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A01070"/>
    <w:multiLevelType w:val="multilevel"/>
    <w:tmpl w:val="B83A1D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7"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8D7A10"/>
    <w:multiLevelType w:val="multilevel"/>
    <w:tmpl w:val="B1F21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33"/>
  </w:num>
  <w:num w:numId="3">
    <w:abstractNumId w:val="35"/>
  </w:num>
  <w:num w:numId="4">
    <w:abstractNumId w:val="14"/>
  </w:num>
  <w:num w:numId="5">
    <w:abstractNumId w:val="21"/>
  </w:num>
  <w:num w:numId="6">
    <w:abstractNumId w:val="18"/>
  </w:num>
  <w:num w:numId="7">
    <w:abstractNumId w:val="3"/>
  </w:num>
  <w:num w:numId="8">
    <w:abstractNumId w:val="30"/>
  </w:num>
  <w:num w:numId="9">
    <w:abstractNumId w:val="31"/>
  </w:num>
  <w:num w:numId="10">
    <w:abstractNumId w:val="13"/>
  </w:num>
  <w:num w:numId="11">
    <w:abstractNumId w:val="12"/>
  </w:num>
  <w:num w:numId="12">
    <w:abstractNumId w:val="22"/>
  </w:num>
  <w:num w:numId="13">
    <w:abstractNumId w:val="26"/>
  </w:num>
  <w:num w:numId="14">
    <w:abstractNumId w:val="28"/>
  </w:num>
  <w:num w:numId="15">
    <w:abstractNumId w:val="4"/>
  </w:num>
  <w:num w:numId="16">
    <w:abstractNumId w:val="27"/>
  </w:num>
  <w:num w:numId="17">
    <w:abstractNumId w:val="23"/>
  </w:num>
  <w:num w:numId="18">
    <w:abstractNumId w:val="38"/>
  </w:num>
  <w:num w:numId="19">
    <w:abstractNumId w:val="0"/>
  </w:num>
  <w:num w:numId="20">
    <w:abstractNumId w:val="15"/>
  </w:num>
  <w:num w:numId="21">
    <w:abstractNumId w:val="32"/>
  </w:num>
  <w:num w:numId="22">
    <w:abstractNumId w:val="2"/>
  </w:num>
  <w:num w:numId="23">
    <w:abstractNumId w:val="9"/>
  </w:num>
  <w:num w:numId="24">
    <w:abstractNumId w:val="5"/>
  </w:num>
  <w:num w:numId="25">
    <w:abstractNumId w:val="20"/>
  </w:num>
  <w:num w:numId="26">
    <w:abstractNumId w:val="24"/>
  </w:num>
  <w:num w:numId="27">
    <w:abstractNumId w:val="34"/>
  </w:num>
  <w:num w:numId="28">
    <w:abstractNumId w:val="1"/>
  </w:num>
  <w:num w:numId="29">
    <w:abstractNumId w:val="29"/>
  </w:num>
  <w:num w:numId="30">
    <w:abstractNumId w:val="36"/>
  </w:num>
  <w:num w:numId="31">
    <w:abstractNumId w:val="19"/>
  </w:num>
  <w:num w:numId="32">
    <w:abstractNumId w:val="7"/>
  </w:num>
  <w:num w:numId="33">
    <w:abstractNumId w:val="16"/>
  </w:num>
  <w:num w:numId="34">
    <w:abstractNumId w:val="17"/>
  </w:num>
  <w:num w:numId="35">
    <w:abstractNumId w:val="6"/>
  </w:num>
  <w:num w:numId="36">
    <w:abstractNumId w:val="25"/>
  </w:num>
  <w:num w:numId="37">
    <w:abstractNumId w:val="37"/>
  </w:num>
  <w:num w:numId="38">
    <w:abstractNumId w:val="1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61"/>
    <w:rsid w:val="0013687F"/>
    <w:rsid w:val="002E2BDE"/>
    <w:rsid w:val="00497E16"/>
    <w:rsid w:val="00562D95"/>
    <w:rsid w:val="00A90AED"/>
    <w:rsid w:val="00AB0AB3"/>
    <w:rsid w:val="00B74F61"/>
    <w:rsid w:val="00E03DB7"/>
    <w:rsid w:val="00EE3250"/>
    <w:rsid w:val="00F74A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244B"/>
  <w15:chartTrackingRefBased/>
  <w15:docId w15:val="{5A1E1A12-86BC-4814-ABFA-2E0E053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2E2B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2BDE"/>
    <w:rPr>
      <w:color w:val="0000FF"/>
      <w:u w:val="single"/>
    </w:rPr>
  </w:style>
  <w:style w:type="character" w:customStyle="1" w:styleId="head1">
    <w:name w:val="head1"/>
    <w:basedOn w:val="DefaultParagraphFont"/>
    <w:rsid w:val="002E2BDE"/>
  </w:style>
  <w:style w:type="paragraph" w:styleId="ListParagraph">
    <w:name w:val="List Paragraph"/>
    <w:basedOn w:val="Normal"/>
    <w:uiPriority w:val="34"/>
    <w:qFormat/>
    <w:rsid w:val="00F7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018&amp;Mode=0" TargetMode="External"/><Relationship Id="rId117" Type="http://schemas.openxmlformats.org/officeDocument/2006/relationships/hyperlink" Target="https://www.rbi.org.in/Scripts/BS_PressReleaseDisplay.aspx?prid=51078" TargetMode="External"/><Relationship Id="rId21" Type="http://schemas.openxmlformats.org/officeDocument/2006/relationships/hyperlink" Target="https://www.rbi.org.in/Scripts/NotificationUser.aspx?Id=12061&amp;Mode=0" TargetMode="External"/><Relationship Id="rId42" Type="http://schemas.openxmlformats.org/officeDocument/2006/relationships/hyperlink" Target="https://www.rbi.org.in/Scripts/BS_PressReleaseDisplay.aspx?prid=51683" TargetMode="External"/><Relationship Id="rId47" Type="http://schemas.openxmlformats.org/officeDocument/2006/relationships/hyperlink" Target="https://www.rbi.org.in/Scripts/NotificationUser.aspx?Id=11850&amp;Mode=0" TargetMode="External"/><Relationship Id="rId63" Type="http://schemas.openxmlformats.org/officeDocument/2006/relationships/hyperlink" Target="https://www.rbi.org.in/Scripts/NotificationUser.aspx?Id=11866&amp;Mode=0" TargetMode="External"/><Relationship Id="rId68" Type="http://schemas.openxmlformats.org/officeDocument/2006/relationships/hyperlink" Target="https://www.rbi.org.in/Scripts/NotificationUser.aspx?Id=11278&amp;Mode=0" TargetMode="External"/><Relationship Id="rId84" Type="http://schemas.openxmlformats.org/officeDocument/2006/relationships/hyperlink" Target="https://www.rbi.org.in/Scripts/NotificationUser.aspx?Id=11303&amp;Mode=0" TargetMode="External"/><Relationship Id="rId89" Type="http://schemas.openxmlformats.org/officeDocument/2006/relationships/hyperlink" Target="https://www.rbi.org.in/Scripts/NotificationUser.aspx?Id=12032&amp;Mode=0" TargetMode="External"/><Relationship Id="rId112" Type="http://schemas.openxmlformats.org/officeDocument/2006/relationships/hyperlink" Target="https://www.rbi.org.in/Scripts/NotificationUser.aspx?Id=11838&amp;Mode=0" TargetMode="External"/><Relationship Id="rId133" Type="http://schemas.openxmlformats.org/officeDocument/2006/relationships/hyperlink" Target="https://www.rbi.org.in/Scripts/NotificationUser.aspx?Id=12079&amp;Mode=0" TargetMode="External"/><Relationship Id="rId138" Type="http://schemas.openxmlformats.org/officeDocument/2006/relationships/hyperlink" Target="https://www.rbi.org.in/Scripts/NotificationUser.aspx?Id=12079&amp;Mode=0" TargetMode="External"/><Relationship Id="rId16" Type="http://schemas.openxmlformats.org/officeDocument/2006/relationships/hyperlink" Target="mailto:reportfmd@rbi.org.in" TargetMode="External"/><Relationship Id="rId107" Type="http://schemas.openxmlformats.org/officeDocument/2006/relationships/hyperlink" Target="https://www.rbi.org.in/Scripts/BS_PressReleaseDisplay.aspx?prid=51078" TargetMode="External"/><Relationship Id="rId11" Type="http://schemas.openxmlformats.org/officeDocument/2006/relationships/hyperlink" Target="https://rbi.org.in/Scripts/NotificationUser.aspx?Id=12006&amp;Mode=0" TargetMode="External"/><Relationship Id="rId32" Type="http://schemas.openxmlformats.org/officeDocument/2006/relationships/hyperlink" Target="https://www.rbi.org.in/Scripts/BS_PressReleaseDisplay.aspx?prid=47225" TargetMode="External"/><Relationship Id="rId37" Type="http://schemas.openxmlformats.org/officeDocument/2006/relationships/hyperlink" Target="https://www.rbi.org.in/Scripts/BS_PressReleaseDisplay.aspx?prid=32614" TargetMode="External"/><Relationship Id="rId53" Type="http://schemas.openxmlformats.org/officeDocument/2006/relationships/hyperlink" Target="https://www.rbi.org.in/Scripts/BS_FemaNotifications.aspx?Id=2126" TargetMode="External"/><Relationship Id="rId58" Type="http://schemas.openxmlformats.org/officeDocument/2006/relationships/hyperlink" Target="https://www.rbi.org.in/scripts/NotificationUser.aspx?Id=6357&amp;Mode=0" TargetMode="External"/><Relationship Id="rId74" Type="http://schemas.openxmlformats.org/officeDocument/2006/relationships/hyperlink" Target="https://rbi.org.in/Scripts/NotificationUser.aspx?Id=10276&amp;Mode=0" TargetMode="External"/><Relationship Id="rId79" Type="http://schemas.openxmlformats.org/officeDocument/2006/relationships/hyperlink" Target="https://rbi.org.in/Scripts/NotificationUser.aspx?Id=11827&amp;Mode=0" TargetMode="External"/><Relationship Id="rId102" Type="http://schemas.openxmlformats.org/officeDocument/2006/relationships/hyperlink" Target="https://www.rbi.org.in/Scripts/BS_PressReleaseDisplay.aspx?prid=51077" TargetMode="External"/><Relationship Id="rId123" Type="http://schemas.openxmlformats.org/officeDocument/2006/relationships/hyperlink" Target="https://www.rbi.org.in/Scripts/NotificationUser.aspx?Id=12079&amp;Mode=0" TargetMode="External"/><Relationship Id="rId128" Type="http://schemas.openxmlformats.org/officeDocument/2006/relationships/hyperlink" Target="https://www.rbi.org.in/Scripts/NotificationUser.aspx?Id=12079&amp;Mode=0" TargetMode="External"/><Relationship Id="rId144" Type="http://schemas.openxmlformats.org/officeDocument/2006/relationships/hyperlink" Target="https://www.rbi.org.in/Scripts/NotificationUser.aspx?Id=12078&amp;Mode=0" TargetMode="External"/><Relationship Id="rId149" Type="http://schemas.openxmlformats.org/officeDocument/2006/relationships/hyperlink" Target="https://www.rbi.org.in/Scripts/NotificationUser.aspx?Id=1204&amp;Mode=0" TargetMode="External"/><Relationship Id="rId5" Type="http://schemas.openxmlformats.org/officeDocument/2006/relationships/hyperlink" Target="https://www.rbi.org.in/Scripts/NotificationUser.aspx?Id=12121&amp;Mode=0" TargetMode="External"/><Relationship Id="rId90" Type="http://schemas.openxmlformats.org/officeDocument/2006/relationships/hyperlink" Target="https://www.rbi.org.in/Scripts/NotificationUser.aspx?Id=12032&amp;Mode=0" TargetMode="External"/><Relationship Id="rId95" Type="http://schemas.openxmlformats.org/officeDocument/2006/relationships/hyperlink" Target="https://www.rbi.org.in/Scripts/NotificationUser.aspx?Id=12032&amp;Mode=0" TargetMode="External"/><Relationship Id="rId22" Type="http://schemas.openxmlformats.org/officeDocument/2006/relationships/hyperlink" Target="https://www.rbi.org.in/Scripts/NotificationUser.aspx?Id=12120&amp;Mode=0" TargetMode="External"/><Relationship Id="rId27" Type="http://schemas.openxmlformats.org/officeDocument/2006/relationships/hyperlink" Target="https://www.rbi.org.in/Scripts/NotificationUser.aspx?Id=12018&amp;Mode=0" TargetMode="External"/><Relationship Id="rId43" Type="http://schemas.openxmlformats.org/officeDocument/2006/relationships/hyperlink" Target="https://www.rbi.org.in/Scripts/NotificationUser.aspx?Id=11441&amp;Mode=0" TargetMode="External"/><Relationship Id="rId48" Type="http://schemas.openxmlformats.org/officeDocument/2006/relationships/hyperlink" Target="https://www.rbi.org.in/Scripts/NotificationUser.aspx?Id=11866&amp;Mode=0" TargetMode="External"/><Relationship Id="rId64" Type="http://schemas.openxmlformats.org/officeDocument/2006/relationships/hyperlink" Target="https://www.rbi.org.in/Scripts/NotificationUser.aspx?Id=12049&amp;Mode=0" TargetMode="External"/><Relationship Id="rId69" Type="http://schemas.openxmlformats.org/officeDocument/2006/relationships/hyperlink" Target="https://rbidocs.rbi.org.in/rdocs/content/pdfs/BILA30032021_A2.pdf" TargetMode="External"/><Relationship Id="rId113" Type="http://schemas.openxmlformats.org/officeDocument/2006/relationships/hyperlink" Target="https://www.rbi.org.in/Scripts/NotificationUser.aspx?Id=12004&amp;Mode=0" TargetMode="External"/><Relationship Id="rId118" Type="http://schemas.openxmlformats.org/officeDocument/2006/relationships/hyperlink" Target="https://www.rbi.org.in/Scripts/BS_ViewMasCirculardetails.aspx?id=9893" TargetMode="External"/><Relationship Id="rId134" Type="http://schemas.openxmlformats.org/officeDocument/2006/relationships/hyperlink" Target="https://www.rbi.org.in/Scripts/NotificationUser.aspx?Id=12079&amp;Mode=0" TargetMode="External"/><Relationship Id="rId139" Type="http://schemas.openxmlformats.org/officeDocument/2006/relationships/hyperlink" Target="https://www.rbi.org.in/Scripts/BS_PressReleaseDisplay.aspx?prid=49937" TargetMode="External"/><Relationship Id="rId80" Type="http://schemas.openxmlformats.org/officeDocument/2006/relationships/hyperlink" Target="https://rbi.org.in/Scripts/NotificationUser.aspx?Id=8968&amp;Mode=0" TargetMode="External"/><Relationship Id="rId85" Type="http://schemas.openxmlformats.org/officeDocument/2006/relationships/hyperlink" Target="https://www.rbi.org.in/Scripts/BS_PressReleaseDisplay.aspx?prid=51078" TargetMode="External"/><Relationship Id="rId150" Type="http://schemas.openxmlformats.org/officeDocument/2006/relationships/hyperlink" Target="https://rbidocs.rbi.org.in/rdocs/content/pdfs/89NOT05022021_AN.pdf" TargetMode="External"/><Relationship Id="rId12" Type="http://schemas.openxmlformats.org/officeDocument/2006/relationships/hyperlink" Target="https://rbi.org.in/Scripts/NotificationUser.aspx?Id=11385&amp;Mode=0" TargetMode="External"/><Relationship Id="rId17" Type="http://schemas.openxmlformats.org/officeDocument/2006/relationships/hyperlink" Target="mailto:reportfmd@rbi.org.in" TargetMode="External"/><Relationship Id="rId25" Type="http://schemas.openxmlformats.org/officeDocument/2006/relationships/hyperlink" Target="https://www.rbi.org.in/Scripts/NotificationUser.aspx?Id=12018&amp;Mode=0" TargetMode="External"/><Relationship Id="rId33" Type="http://schemas.openxmlformats.org/officeDocument/2006/relationships/hyperlink" Target="https://www.rbi.org.in/Scripts/BS_PressReleaseDisplay.aspx?prid=51684" TargetMode="External"/><Relationship Id="rId38" Type="http://schemas.openxmlformats.org/officeDocument/2006/relationships/hyperlink" Target="https://www.rbi.org.in/Scripts/BS_ViewMasCirculardetails.aspx?id=9874" TargetMode="External"/><Relationship Id="rId46" Type="http://schemas.openxmlformats.org/officeDocument/2006/relationships/hyperlink" Target="https://www.rbi.org.in/Scripts/NotificationUser.aspx?Id=11849&amp;Mode=0" TargetMode="External"/><Relationship Id="rId59" Type="http://schemas.openxmlformats.org/officeDocument/2006/relationships/hyperlink" Target="https://www.rbi.org.in/scripts/NotificationUser.aspx?Id=8737&amp;Mode=0" TargetMode="External"/><Relationship Id="rId67" Type="http://schemas.openxmlformats.org/officeDocument/2006/relationships/hyperlink" Target="https://rbidocs.rbi.org.in/rdocs/content/pdfs/BILA30032021_A1.pdf" TargetMode="External"/><Relationship Id="rId103" Type="http://schemas.openxmlformats.org/officeDocument/2006/relationships/hyperlink" Target="https://www.rbi.org.in/Scripts/BS_ViewMasDirections.aspx?id=10192" TargetMode="External"/><Relationship Id="rId108" Type="http://schemas.openxmlformats.org/officeDocument/2006/relationships/hyperlink" Target="https://www.rbi.org.in/Scripts/NotificationUser.aspx?Id=11982&amp;Mode=0" TargetMode="External"/><Relationship Id="rId116" Type="http://schemas.openxmlformats.org/officeDocument/2006/relationships/hyperlink" Target="https://www.rbi.org.in/Scripts/NotificationUser.aspx?Id=11841&amp;Mode=0" TargetMode="External"/><Relationship Id="rId124" Type="http://schemas.openxmlformats.org/officeDocument/2006/relationships/hyperlink" Target="https://www.rbi.org.in/Scripts/NotificationUser.aspx?Id=12079&amp;Mode=0" TargetMode="External"/><Relationship Id="rId129" Type="http://schemas.openxmlformats.org/officeDocument/2006/relationships/hyperlink" Target="https://www.rbi.org.in/Scripts/NotificationUser.aspx?Id=12079&amp;Mode=0" TargetMode="External"/><Relationship Id="rId137" Type="http://schemas.openxmlformats.org/officeDocument/2006/relationships/hyperlink" Target="https://www.rbi.org.in/Scripts/NotificationUser.aspx?Id=12079&amp;Mode=0" TargetMode="External"/><Relationship Id="rId20" Type="http://schemas.openxmlformats.org/officeDocument/2006/relationships/hyperlink" Target="https://rbi.org.in/Scripts/NotificationUser.aspx?Id=12006&amp;Mode=0" TargetMode="External"/><Relationship Id="rId41" Type="http://schemas.openxmlformats.org/officeDocument/2006/relationships/hyperlink" Target="https://www.rbi.org.in/Scripts/BS_PressReleaseDisplay.aspx?prid=51684" TargetMode="External"/><Relationship Id="rId54" Type="http://schemas.openxmlformats.org/officeDocument/2006/relationships/hyperlink" Target="https://www.rbi.org.in/Scripts/BS_FemaNotifications.aspx?Id=2126" TargetMode="External"/><Relationship Id="rId62" Type="http://schemas.openxmlformats.org/officeDocument/2006/relationships/hyperlink" Target="https://rbidocs.rbi.org.in/rdocs/content/pdfs/396FEMA17102019.pdf" TargetMode="External"/><Relationship Id="rId70" Type="http://schemas.openxmlformats.org/officeDocument/2006/relationships/hyperlink" Target="https://www.rbi.org.in/Scripts/BS_ViewMasCirculardetails.aspx?id=9908" TargetMode="External"/><Relationship Id="rId75" Type="http://schemas.openxmlformats.org/officeDocument/2006/relationships/hyperlink" Target="https://bop.rbi.org.in/" TargetMode="External"/><Relationship Id="rId83" Type="http://schemas.openxmlformats.org/officeDocument/2006/relationships/hyperlink" Target="https://www.rbi.org.in/Scripts/NotificationUser.aspx?Id=10147&amp;Mode=0" TargetMode="External"/><Relationship Id="rId88" Type="http://schemas.openxmlformats.org/officeDocument/2006/relationships/hyperlink" Target="https://www.rbi.org.in/Scripts/NotificationUser.aspx?Id=12032&amp;Mode=0" TargetMode="External"/><Relationship Id="rId91" Type="http://schemas.openxmlformats.org/officeDocument/2006/relationships/hyperlink" Target="https://www.rbi.org.in/Scripts/NotificationUser.aspx?Id=12032&amp;Mode=0" TargetMode="External"/><Relationship Id="rId96" Type="http://schemas.openxmlformats.org/officeDocument/2006/relationships/hyperlink" Target="https://www.rbi.org.in/Scripts/NotificationUser.aspx?Id=12032&amp;Mode=0" TargetMode="External"/><Relationship Id="rId111" Type="http://schemas.openxmlformats.org/officeDocument/2006/relationships/hyperlink" Target="https://www.rbi.org.in/Scripts/BS_ViewMasCirculardetails.aspx?id=9859" TargetMode="External"/><Relationship Id="rId132" Type="http://schemas.openxmlformats.org/officeDocument/2006/relationships/hyperlink" Target="https://www.rbi.org.in/Scripts/NotificationUser.aspx?Id=12079&amp;Mode=0" TargetMode="External"/><Relationship Id="rId140" Type="http://schemas.openxmlformats.org/officeDocument/2006/relationships/hyperlink" Target="https://www.rbi.org.in/Scripts/NotificationUser.aspx?Id=12078&amp;Mode=0" TargetMode="External"/><Relationship Id="rId145" Type="http://schemas.openxmlformats.org/officeDocument/2006/relationships/hyperlink" Target="https://www.rbi.org.in/Scripts/NotificationUser.aspx?Id=12078&amp;Mode=0"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org.in/Scripts/BS_PressReleaseDisplay.aspx?prid=47226" TargetMode="External"/><Relationship Id="rId15" Type="http://schemas.openxmlformats.org/officeDocument/2006/relationships/hyperlink" Target="https://www.rbi.org.in/Scripts/NotificationUser.aspx?Id=12061&amp;Mode=0" TargetMode="External"/><Relationship Id="rId23" Type="http://schemas.openxmlformats.org/officeDocument/2006/relationships/hyperlink" Target="https://www.rbi.org.in/Scripts/NotificationUser.aspx?Id=1020&amp;Mode=0" TargetMode="External"/><Relationship Id="rId28" Type="http://schemas.openxmlformats.org/officeDocument/2006/relationships/hyperlink" Target="https://www.rbi.org.in/Scripts/NotificationUser.aspx?Id=1020&amp;Mode=0" TargetMode="External"/><Relationship Id="rId36" Type="http://schemas.openxmlformats.org/officeDocument/2006/relationships/hyperlink" Target="https://www.rbi.org.in/Scripts/BS_PressReleaseDisplay.aspx?prid=47408" TargetMode="External"/><Relationship Id="rId49" Type="http://schemas.openxmlformats.org/officeDocument/2006/relationships/hyperlink" Target="https://www.rbi.org.in/Scripts/NotificationUser.aspx?Id=12049&amp;Mode=0" TargetMode="External"/><Relationship Id="rId57" Type="http://schemas.openxmlformats.org/officeDocument/2006/relationships/hyperlink" Target="https://www.rbi.org.in/scripts/NotificationUser.aspx?Id=3334&amp;Mode=0" TargetMode="External"/><Relationship Id="rId106" Type="http://schemas.openxmlformats.org/officeDocument/2006/relationships/hyperlink" Target="https://www.rbi.org.in/Scripts/NotificationUser.aspx?Id=11971&amp;Mode=0" TargetMode="External"/><Relationship Id="rId114" Type="http://schemas.openxmlformats.org/officeDocument/2006/relationships/hyperlink" Target="https://www.rbi.org.in/Scripts/BS_PressReleaseDisplay.aspx?prid=50427" TargetMode="External"/><Relationship Id="rId119" Type="http://schemas.openxmlformats.org/officeDocument/2006/relationships/hyperlink" Target="https://www.rbi.org.in/Scripts/BS_ViewMasCirculardetails.aspx?id=9859" TargetMode="External"/><Relationship Id="rId127" Type="http://schemas.openxmlformats.org/officeDocument/2006/relationships/hyperlink" Target="https://www.rbi.org.in/Scripts/NotificationUser.aspx?Id=12079&amp;Mode=0" TargetMode="External"/><Relationship Id="rId10" Type="http://schemas.openxmlformats.org/officeDocument/2006/relationships/hyperlink" Target="https://rbi.org.in/Scripts/NotificationUser.aspx?Id=11405&amp;Mode=0" TargetMode="External"/><Relationship Id="rId31" Type="http://schemas.openxmlformats.org/officeDocument/2006/relationships/hyperlink" Target="https://www.rbi.org.in/Scripts/BS_PressReleaseDisplay.aspx?prid=47226" TargetMode="External"/><Relationship Id="rId44" Type="http://schemas.openxmlformats.org/officeDocument/2006/relationships/hyperlink" Target="https://rbidocs.rbi.org.in/rdocs/content/pdfs/FEMA3(R)224052021.pdf" TargetMode="External"/><Relationship Id="rId52" Type="http://schemas.openxmlformats.org/officeDocument/2006/relationships/hyperlink" Target="https://www.rbi.org.in/Scripts/BS_ViewMasDirections.aspx?id=10637" TargetMode="External"/><Relationship Id="rId60" Type="http://schemas.openxmlformats.org/officeDocument/2006/relationships/hyperlink" Target="https://www.rbi.org.in/scripts/NotificationUser.aspx?Id=9624&amp;Mode=0" TargetMode="External"/><Relationship Id="rId65" Type="http://schemas.openxmlformats.org/officeDocument/2006/relationships/hyperlink" Target="https://www.rbi.org.in/Scripts/NotificationUser.aspx?Id=12049&amp;Mode=0" TargetMode="External"/><Relationship Id="rId73" Type="http://schemas.openxmlformats.org/officeDocument/2006/relationships/hyperlink" Target="https://rbidocs.rbi.org.in/rdocs/content/pdfs/BILA30032021_A4.pdf" TargetMode="External"/><Relationship Id="rId78" Type="http://schemas.openxmlformats.org/officeDocument/2006/relationships/hyperlink" Target="mailto:bkccard@rbi.org.in" TargetMode="External"/><Relationship Id="rId81" Type="http://schemas.openxmlformats.org/officeDocument/2006/relationships/hyperlink" Target="https://rbi.org.in/Scripts/NotificationUser.aspx?Id=11941&amp;Mode=0" TargetMode="External"/><Relationship Id="rId86" Type="http://schemas.openxmlformats.org/officeDocument/2006/relationships/hyperlink" Target="https://www.rbi.org.in/Scripts/NotificationUser.aspx?Id=11303&amp;Mode=0" TargetMode="External"/><Relationship Id="rId94" Type="http://schemas.openxmlformats.org/officeDocument/2006/relationships/hyperlink" Target="https://www.rbi.org.in/Scripts/NotificationUser.aspx?Id=12032&amp;Mode=0" TargetMode="External"/><Relationship Id="rId99" Type="http://schemas.openxmlformats.org/officeDocument/2006/relationships/hyperlink" Target="https://www.rbi.org.in/Scripts/NotificationUser.aspx?Id=12032&amp;Mode=0" TargetMode="External"/><Relationship Id="rId101" Type="http://schemas.openxmlformats.org/officeDocument/2006/relationships/hyperlink" Target="https://www.rbi.org.in/Scripts/BS_PressReleaseDisplay.aspx?prid=51078" TargetMode="External"/><Relationship Id="rId122" Type="http://schemas.openxmlformats.org/officeDocument/2006/relationships/hyperlink" Target="https://www.rbi.org.in/Scripts/NotificationUser.aspx?Id=12079&amp;Mode=0" TargetMode="External"/><Relationship Id="rId130" Type="http://schemas.openxmlformats.org/officeDocument/2006/relationships/hyperlink" Target="https://www.rbi.org.in/Scripts/NotificationUser.aspx?Id=12079&amp;Mode=0" TargetMode="External"/><Relationship Id="rId135" Type="http://schemas.openxmlformats.org/officeDocument/2006/relationships/hyperlink" Target="https://www.rbi.org.in/Scripts/NotificationUser.aspx?Id=12079&amp;Mode=0" TargetMode="External"/><Relationship Id="rId143" Type="http://schemas.openxmlformats.org/officeDocument/2006/relationships/hyperlink" Target="https://www.rbi.org.in/Scripts/NotificationUser.aspx?Id=12078&amp;Mode=0" TargetMode="External"/><Relationship Id="rId148" Type="http://schemas.openxmlformats.org/officeDocument/2006/relationships/hyperlink" Target="https://www.rbi.org.in/Scripts/NotificationUser.aspx?Id=9859&amp;Mode=0" TargetMode="External"/><Relationship Id="rId151" Type="http://schemas.openxmlformats.org/officeDocument/2006/relationships/hyperlink" Target="https://www.rbi.org.in/Scripts/NotificationUser.aspx?Id=12019&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0495&amp;Mode=0" TargetMode="External"/><Relationship Id="rId13" Type="http://schemas.openxmlformats.org/officeDocument/2006/relationships/hyperlink" Target="https://rbi.org.in/Scripts/BS_PressReleaseDisplay.aspx?prid=32615" TargetMode="External"/><Relationship Id="rId18" Type="http://schemas.openxmlformats.org/officeDocument/2006/relationships/hyperlink" Target="https://rbi.org.in/Scripts/NotificationUser.aspx?Id=10495&amp;Mode=0" TargetMode="External"/><Relationship Id="rId39" Type="http://schemas.openxmlformats.org/officeDocument/2006/relationships/hyperlink" Target="https://www.rbi.org.in/Scripts/NotificationUser.aspx?Id=12108&amp;Mode=0" TargetMode="External"/><Relationship Id="rId109" Type="http://schemas.openxmlformats.org/officeDocument/2006/relationships/hyperlink" Target="https://www.rbi.org.in/Scripts/NotificationUser.aspx?Id=11982&amp;Mode=0" TargetMode="External"/><Relationship Id="rId34" Type="http://schemas.openxmlformats.org/officeDocument/2006/relationships/hyperlink" Target="https://www.rbi.org.in/Scripts/BS_PressReleaseDisplay.aspx?prid=51683" TargetMode="External"/><Relationship Id="rId50" Type="http://schemas.openxmlformats.org/officeDocument/2006/relationships/hyperlink" Target="https://www.rbi.org.in/Scripts/NotificationUser.aspx?Id=11849&amp;Mode=0" TargetMode="External"/><Relationship Id="rId55" Type="http://schemas.openxmlformats.org/officeDocument/2006/relationships/hyperlink" Target="https://www.rbi.org.in/Scripts/BS_ViewMasDirections.aspx?id=10637" TargetMode="External"/><Relationship Id="rId76" Type="http://schemas.openxmlformats.org/officeDocument/2006/relationships/hyperlink" Target="https://rbidocs.rbi.org.in/rdocs/content/pdfs/NT113_25032021.pdf" TargetMode="External"/><Relationship Id="rId97" Type="http://schemas.openxmlformats.org/officeDocument/2006/relationships/hyperlink" Target="https://www.rbi.org.in/Scripts/NotificationUser.aspx?Id=12032&amp;Mode=0" TargetMode="External"/><Relationship Id="rId104" Type="http://schemas.openxmlformats.org/officeDocument/2006/relationships/hyperlink" Target="https://rbidocs.rbi.org.in/rdocs/content/pdfs/AnnexI_15022021.pdf" TargetMode="External"/><Relationship Id="rId120" Type="http://schemas.openxmlformats.org/officeDocument/2006/relationships/hyperlink" Target="https://www.fedai.org.in/DocumentUploadFiles/SpecialCircular/SPL-01.2021dt.09March2021.pdf" TargetMode="External"/><Relationship Id="rId125" Type="http://schemas.openxmlformats.org/officeDocument/2006/relationships/hyperlink" Target="https://www.rbi.org.in/Scripts/NotificationUser.aspx?Id=12079&amp;Mode=0" TargetMode="External"/><Relationship Id="rId141" Type="http://schemas.openxmlformats.org/officeDocument/2006/relationships/hyperlink" Target="https://www.rbi.org.in/Scripts/NotificationUser.aspx?Id=12078&amp;Mode=0" TargetMode="External"/><Relationship Id="rId146" Type="http://schemas.openxmlformats.org/officeDocument/2006/relationships/hyperlink" Target="https://www.rbi.org.in/Scripts/NotificationUser.aspx?Id=12078&amp;Mode=0" TargetMode="External"/><Relationship Id="rId7" Type="http://schemas.openxmlformats.org/officeDocument/2006/relationships/hyperlink" Target="https://rbi.org.in/Scripts/BS_PressReleaseDisplay.aspx?prid=47225" TargetMode="External"/><Relationship Id="rId71" Type="http://schemas.openxmlformats.org/officeDocument/2006/relationships/hyperlink" Target="https://rbidocs.rbi.org.in/rdocs/content/pdfs/BILA30032021_A3.pdf" TargetMode="External"/><Relationship Id="rId92" Type="http://schemas.openxmlformats.org/officeDocument/2006/relationships/hyperlink" Target="https://www.rbi.org.in/Scripts/NotificationUser.aspx?Id=12032&amp;Mode=0" TargetMode="External"/><Relationship Id="rId2" Type="http://schemas.openxmlformats.org/officeDocument/2006/relationships/styles" Target="styles.xml"/><Relationship Id="rId29" Type="http://schemas.openxmlformats.org/officeDocument/2006/relationships/hyperlink" Target="https://www.rbi.org.in/Scripts/NotificationUser.aspx?Id=1020&amp;Mode=0" TargetMode="External"/><Relationship Id="rId24" Type="http://schemas.openxmlformats.org/officeDocument/2006/relationships/hyperlink" Target="https://www.rbi.org.in/Scripts/NotificationUser.aspx?Id=12011&amp;Mode=0" TargetMode="External"/><Relationship Id="rId40" Type="http://schemas.openxmlformats.org/officeDocument/2006/relationships/hyperlink" Target="https://www.rbi.org.in/Scripts/NotificationUser.aspx?Id=12108&amp;Mode=0" TargetMode="External"/><Relationship Id="rId45" Type="http://schemas.openxmlformats.org/officeDocument/2006/relationships/hyperlink" Target="https://www.rbi.org.in/Scripts/NotificationUser.aspx?Id=12099&amp;Mode=0" TargetMode="External"/><Relationship Id="rId66" Type="http://schemas.openxmlformats.org/officeDocument/2006/relationships/hyperlink" Target="https://www.rbi.org.in/Scripts/BS_ViewMasCirculardetails.aspx?id=9859" TargetMode="External"/><Relationship Id="rId87" Type="http://schemas.openxmlformats.org/officeDocument/2006/relationships/hyperlink" Target="https://www.rbi.org.in/Scripts/NotificationUser.aspx?Id=11303&amp;Mode=0" TargetMode="External"/><Relationship Id="rId110" Type="http://schemas.openxmlformats.org/officeDocument/2006/relationships/hyperlink" Target="https://www.rbi.org.in/Scripts/NotificationUser.aspx?Id=11970&amp;Mode=0" TargetMode="External"/><Relationship Id="rId115" Type="http://schemas.openxmlformats.org/officeDocument/2006/relationships/hyperlink" Target="https://www.rbi.org.in/Scripts/BS_PressReleaseDisplay.aspx?prid=51078" TargetMode="External"/><Relationship Id="rId131" Type="http://schemas.openxmlformats.org/officeDocument/2006/relationships/hyperlink" Target="https://www.rbi.org.in/Scripts/NotificationUser.aspx?Id=12079&amp;Mode=0" TargetMode="External"/><Relationship Id="rId136" Type="http://schemas.openxmlformats.org/officeDocument/2006/relationships/hyperlink" Target="https://www.rbi.org.in/Scripts/NotificationUser.aspx?Id=12079&amp;Mode=0" TargetMode="External"/><Relationship Id="rId61" Type="http://schemas.openxmlformats.org/officeDocument/2006/relationships/hyperlink" Target="https://www.rbi.org.in/Scripts/NotificationUser.aspx?Id=12070&amp;Mode=0" TargetMode="External"/><Relationship Id="rId82" Type="http://schemas.openxmlformats.org/officeDocument/2006/relationships/hyperlink" Target="https://rbidocs.rbi.org.in/rdocs/content/pdfs/396FEMA17102019.pdf" TargetMode="External"/><Relationship Id="rId152" Type="http://schemas.openxmlformats.org/officeDocument/2006/relationships/fontTable" Target="fontTable.xml"/><Relationship Id="rId19" Type="http://schemas.openxmlformats.org/officeDocument/2006/relationships/hyperlink" Target="https://rbi.org.in/Scripts/NotificationUser.aspx?Id=11405&amp;Mode=0" TargetMode="External"/><Relationship Id="rId14" Type="http://schemas.openxmlformats.org/officeDocument/2006/relationships/hyperlink" Target="https://rbi.org.in/Scripts/BS_PressReleaseDisplay.aspx?prid=32614" TargetMode="External"/><Relationship Id="rId30" Type="http://schemas.openxmlformats.org/officeDocument/2006/relationships/hyperlink" Target="https://www.rbi.org.in/Scripts/NotificationUser.aspx?Id=12011&amp;Mode=0" TargetMode="External"/><Relationship Id="rId35" Type="http://schemas.openxmlformats.org/officeDocument/2006/relationships/hyperlink" Target="https://www.rbi.org.in/Scripts/BS_PressReleaseDisplay.aspx?prid=50761" TargetMode="External"/><Relationship Id="rId56" Type="http://schemas.openxmlformats.org/officeDocument/2006/relationships/hyperlink" Target="https://www.rbi.org.in/scripts/NotificationUser.aspx?Id=2918&amp;Mode=0" TargetMode="External"/><Relationship Id="rId77" Type="http://schemas.openxmlformats.org/officeDocument/2006/relationships/hyperlink" Target="https://bop.rbi.org.in/" TargetMode="External"/><Relationship Id="rId100" Type="http://schemas.openxmlformats.org/officeDocument/2006/relationships/hyperlink" Target="https://www.rbi.org.in/Scripts/NotificationUser.aspx?Id=8914&amp;Mode=0" TargetMode="External"/><Relationship Id="rId105" Type="http://schemas.openxmlformats.org/officeDocument/2006/relationships/hyperlink" Target="https://www.rbi.org.in/Scripts/NotificationUser.aspx?Id=11278&amp;Mode=0" TargetMode="External"/><Relationship Id="rId126" Type="http://schemas.openxmlformats.org/officeDocument/2006/relationships/hyperlink" Target="https://www.rbi.org.in/Scripts/NotificationUser.aspx?Id=12079&amp;Mode=0" TargetMode="External"/><Relationship Id="rId147" Type="http://schemas.openxmlformats.org/officeDocument/2006/relationships/hyperlink" Target="https://www.rbi.org.in/Scripts/NotificationUser.aspx?Id=11573&amp;Mode=0" TargetMode="External"/><Relationship Id="rId8" Type="http://schemas.openxmlformats.org/officeDocument/2006/relationships/hyperlink" Target="https://www.rbi.org.in/Scripts/NotificationUser.aspx?Id=12061&amp;Mode=0" TargetMode="External"/><Relationship Id="rId51" Type="http://schemas.openxmlformats.org/officeDocument/2006/relationships/hyperlink" Target="https://www.rbi.org.in/Scripts/NotificationUser.aspx?Id=12049&amp;Mode=0" TargetMode="External"/><Relationship Id="rId72" Type="http://schemas.openxmlformats.org/officeDocument/2006/relationships/hyperlink" Target="https://www.rbi.org.in/Scripts/BS_ViewMasCirculardetails.aspx?id=9893" TargetMode="External"/><Relationship Id="rId93" Type="http://schemas.openxmlformats.org/officeDocument/2006/relationships/hyperlink" Target="https://www.rbi.org.in/Scripts/NotificationUser.aspx?Id=12032&amp;Mode=0" TargetMode="External"/><Relationship Id="rId98" Type="http://schemas.openxmlformats.org/officeDocument/2006/relationships/hyperlink" Target="https://www.rbi.org.in/Scripts/NotificationUser.aspx?Id=12032&amp;Mode=0" TargetMode="External"/><Relationship Id="rId121" Type="http://schemas.openxmlformats.org/officeDocument/2006/relationships/hyperlink" Target="https://www.rbi.org.in/scripts/FS_Notification.aspx?Id=11243&amp;fn=2&amp;Mode=0" TargetMode="External"/><Relationship Id="rId142" Type="http://schemas.openxmlformats.org/officeDocument/2006/relationships/hyperlink" Target="https://www.rbi.org.in/Scripts/NotificationUser.aspx?Id=12078&amp;Mode=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24555</Words>
  <Characters>139965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5</cp:revision>
  <dcterms:created xsi:type="dcterms:W3CDTF">2021-07-16T23:24:00Z</dcterms:created>
  <dcterms:modified xsi:type="dcterms:W3CDTF">2021-07-19T07:22:00Z</dcterms:modified>
</cp:coreProperties>
</file>