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BF8" w:rsidRPr="00C66C9C" w:rsidRDefault="00DA198A" w:rsidP="00DA198A">
      <w:pPr>
        <w:jc w:val="center"/>
        <w:rPr>
          <w:rFonts w:ascii="Times New Roman" w:hAnsi="Times New Roman" w:cs="Times New Roman"/>
          <w:b/>
          <w:sz w:val="36"/>
          <w:u w:val="single"/>
        </w:rPr>
      </w:pPr>
      <w:bookmarkStart w:id="0" w:name="_GoBack"/>
      <w:r w:rsidRPr="00C66C9C">
        <w:rPr>
          <w:rFonts w:ascii="Times New Roman" w:hAnsi="Times New Roman" w:cs="Times New Roman"/>
          <w:b/>
          <w:sz w:val="36"/>
          <w:u w:val="single"/>
        </w:rPr>
        <w:t>Accounting &amp; Audit RBI Notifications Jan to June 2021</w:t>
      </w:r>
    </w:p>
    <w:bookmarkEnd w:id="0"/>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Risk-Based Internal Audit (RBIA)</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 xml:space="preserve">RBI/2020-21/88 </w:t>
      </w:r>
      <w:proofErr w:type="spellStart"/>
      <w:proofErr w:type="gramStart"/>
      <w:r w:rsidRPr="00BE0E8C">
        <w:rPr>
          <w:b/>
          <w:color w:val="000000"/>
        </w:rPr>
        <w:t>Ref.No.DoS.CO.PPG</w:t>
      </w:r>
      <w:proofErr w:type="spellEnd"/>
      <w:r w:rsidRPr="00BE0E8C">
        <w:rPr>
          <w:b/>
          <w:color w:val="000000"/>
        </w:rPr>
        <w:t>./</w:t>
      </w:r>
      <w:proofErr w:type="gramEnd"/>
      <w:r w:rsidRPr="00BE0E8C">
        <w:rPr>
          <w:b/>
          <w:color w:val="000000"/>
        </w:rPr>
        <w:t>SEC.05/11.01.005/2020-21       February 03, 2021</w:t>
      </w:r>
    </w:p>
    <w:p w:rsidR="00DA198A" w:rsidRPr="00BE0E8C" w:rsidRDefault="00DA198A" w:rsidP="00DA198A">
      <w:pPr>
        <w:pStyle w:val="NormalWeb"/>
        <w:shd w:val="clear" w:color="auto" w:fill="FFFFFF"/>
        <w:spacing w:before="0" w:beforeAutospacing="0" w:after="0" w:afterAutospacing="0"/>
        <w:jc w:val="both"/>
        <w:rPr>
          <w:i/>
          <w:color w:val="000000"/>
        </w:rPr>
      </w:pPr>
    </w:p>
    <w:p w:rsidR="00DA198A" w:rsidRPr="00BE0E8C" w:rsidRDefault="00DA198A" w:rsidP="00DA198A">
      <w:pPr>
        <w:pStyle w:val="NormalWeb"/>
        <w:shd w:val="clear" w:color="auto" w:fill="FFFFFF"/>
        <w:spacing w:before="0" w:beforeAutospacing="0" w:after="0" w:afterAutospacing="0"/>
        <w:jc w:val="both"/>
        <w:rPr>
          <w:i/>
          <w:color w:val="000000"/>
        </w:rPr>
      </w:pPr>
      <w:r w:rsidRPr="00BE0E8C">
        <w:rPr>
          <w:i/>
          <w:color w:val="000000"/>
        </w:rPr>
        <w:t xml:space="preserve">The Chairman / Managing Director / Chief Executive Officer, </w:t>
      </w:r>
      <w:proofErr w:type="gramStart"/>
      <w:r w:rsidRPr="00BE0E8C">
        <w:rPr>
          <w:i/>
          <w:color w:val="000000"/>
        </w:rPr>
        <w:t>All</w:t>
      </w:r>
      <w:proofErr w:type="gramEnd"/>
      <w:r w:rsidRPr="00BE0E8C">
        <w:rPr>
          <w:i/>
          <w:color w:val="000000"/>
        </w:rPr>
        <w:t xml:space="preserve"> deposit taking Non-Banking Financial Companies (NBFCs), All non-deposit taking NBFCs (including Core Investment Companies) with asset size of ₹5,000 crore and above, All Primary (Urban) Co-operative Banks (UCBs) with asset size of ₹500 crore and above</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independent and effective internal audit function in a financial entity provides vital assurance to the Board and its senior management regarding the quality and effectiveness of the entity’s internal control, risk management and governance framework. The essential requirements for a robust internal audit function include, inter alia, sufficient authority, proper stature, independence, adequate resources and professional competence.</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range and commonality of risks faced by Supervised Entities (SEs) would warrant effective and harmonized systems and processes for the internal audit function across the SEs based on certain common guiding principles.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The introduction of Risk-Based Internal Audit (RBIA) system was mandated for all Scheduled Commercial Banks (except Regional Rural Banks) vide our </w:t>
      </w:r>
      <w:hyperlink r:id="rId5"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which was further supplemented vide </w:t>
      </w:r>
      <w:hyperlink r:id="rId6" w:tgtFrame="_blank" w:history="1">
        <w:r w:rsidRPr="00BE0E8C">
          <w:rPr>
            <w:rFonts w:ascii="Times New Roman" w:eastAsia="Times New Roman" w:hAnsi="Times New Roman" w:cs="Times New Roman"/>
            <w:color w:val="0000FF"/>
            <w:sz w:val="24"/>
            <w:szCs w:val="24"/>
            <w:u w:val="single"/>
            <w:lang w:eastAsia="en-IN"/>
          </w:rPr>
          <w:t xml:space="preserve">circular </w:t>
        </w:r>
        <w:proofErr w:type="spellStart"/>
        <w:r w:rsidRPr="00BE0E8C">
          <w:rPr>
            <w:rFonts w:ascii="Times New Roman" w:eastAsia="Times New Roman" w:hAnsi="Times New Roman" w:cs="Times New Roman"/>
            <w:color w:val="0000FF"/>
            <w:sz w:val="24"/>
            <w:szCs w:val="24"/>
            <w:u w:val="single"/>
            <w:lang w:eastAsia="en-IN"/>
          </w:rPr>
          <w:t>DoS.CO.PPG</w:t>
        </w:r>
        <w:proofErr w:type="spellEnd"/>
        <w:r w:rsidRPr="00BE0E8C">
          <w:rPr>
            <w:rFonts w:ascii="Times New Roman" w:eastAsia="Times New Roman" w:hAnsi="Times New Roman" w:cs="Times New Roman"/>
            <w:color w:val="0000FF"/>
            <w:sz w:val="24"/>
            <w:szCs w:val="24"/>
            <w:u w:val="single"/>
            <w:lang w:eastAsia="en-IN"/>
          </w:rPr>
          <w:t>./SEC.04/11.01.005/2020-21 dated January 07, 2021</w:t>
        </w:r>
      </w:hyperlink>
      <w:r w:rsidRPr="00BE0E8C">
        <w:rPr>
          <w:rFonts w:ascii="Times New Roman" w:eastAsia="Times New Roman" w:hAnsi="Times New Roman" w:cs="Times New Roman"/>
          <w:color w:val="000000"/>
          <w:sz w:val="24"/>
          <w:szCs w:val="24"/>
          <w:lang w:eastAsia="en-IN"/>
        </w:rPr>
        <w:t>. It has now been decided to mandate RBIA framework for the following Non-Banking Financial Companies (NBFCs) and Primary (Urban) Co-operative Banks (UCBs):</w:t>
      </w:r>
    </w:p>
    <w:p w:rsidR="00DA198A" w:rsidRPr="00BE0E8C" w:rsidRDefault="00DA198A" w:rsidP="00DA198A">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deposit taking NBFCs, irrespective of their size;</w:t>
      </w:r>
    </w:p>
    <w:p w:rsidR="00DA198A" w:rsidRPr="00BE0E8C" w:rsidRDefault="00DA198A" w:rsidP="00DA198A">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All Non-deposit taking NBFCs (including Core Investment Companies) with asset size of ₹5,000 </w:t>
      </w:r>
      <w:proofErr w:type="gramStart"/>
      <w:r w:rsidRPr="00BE0E8C">
        <w:rPr>
          <w:rFonts w:ascii="Times New Roman" w:eastAsia="Times New Roman" w:hAnsi="Times New Roman" w:cs="Times New Roman"/>
          <w:color w:val="000000"/>
          <w:sz w:val="24"/>
          <w:szCs w:val="24"/>
          <w:lang w:eastAsia="en-IN"/>
        </w:rPr>
        <w:t>crore</w:t>
      </w:r>
      <w:proofErr w:type="gramEnd"/>
      <w:r w:rsidRPr="00BE0E8C">
        <w:rPr>
          <w:rFonts w:ascii="Times New Roman" w:eastAsia="Times New Roman" w:hAnsi="Times New Roman" w:cs="Times New Roman"/>
          <w:color w:val="000000"/>
          <w:sz w:val="24"/>
          <w:szCs w:val="24"/>
          <w:lang w:eastAsia="en-IN"/>
        </w:rPr>
        <w:t xml:space="preserve"> and above; and</w:t>
      </w:r>
    </w:p>
    <w:p w:rsidR="00DA198A" w:rsidRPr="00BE0E8C" w:rsidRDefault="00DA198A" w:rsidP="00DA198A">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UCBs having asset size of ₹500 crore and above</w:t>
      </w:r>
      <w:hyperlink r:id="rId7"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Supervised Entities as indicated in Para 3 above shall implement the RBIA framework by March 31, 2022 in accordance with the Guidelines on Risk-Based Internal Audit provided in the enclosed </w:t>
      </w:r>
      <w:hyperlink r:id="rId8" w:anchor="ANN"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The Guidelines are intended to enhance the efficacy of internal audit systems and processes followed by the NBFCs and UCBs.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Further, in order to ensure smooth transition from the existing system of internal audit to RBIA, the concerned NBFCs and UCBs may constitute a committee of senior executives with the responsibility of formulating a suitable action plan. The committee may address transitional and change management issues and should report progress periodically to the Board and senior management.</w:t>
      </w:r>
    </w:p>
    <w:p w:rsidR="00DA198A" w:rsidRPr="00BE0E8C" w:rsidRDefault="00DA198A"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This circular should be placed before the Board in its next meeting. The implementation of these guidelines as per timeline specified should be done under the oversight of the Board.</w:t>
      </w:r>
    </w:p>
    <w:p w:rsidR="00DA198A" w:rsidRPr="00BE0E8C" w:rsidRDefault="00DA198A"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C66C9C"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9" w:history="1">
        <w:r w:rsidR="00DA198A" w:rsidRPr="00BE0E8C">
          <w:rPr>
            <w:rStyle w:val="Hyperlink"/>
            <w:rFonts w:ascii="Times New Roman" w:eastAsia="Times New Roman" w:hAnsi="Times New Roman" w:cs="Times New Roman"/>
            <w:sz w:val="24"/>
            <w:szCs w:val="24"/>
            <w:lang w:eastAsia="en-IN"/>
          </w:rPr>
          <w:t>https://www.rbi.org.in/Scripts/NotificationUser.aspx?Id=12018&amp;Mode=0</w:t>
        </w:r>
      </w:hyperlink>
      <w:r w:rsidR="00DA198A" w:rsidRPr="00BE0E8C">
        <w:rPr>
          <w:rFonts w:ascii="Times New Roman" w:eastAsia="Times New Roman" w:hAnsi="Times New Roman" w:cs="Times New Roman"/>
          <w:color w:val="000000"/>
          <w:sz w:val="24"/>
          <w:szCs w:val="24"/>
          <w:lang w:eastAsia="en-IN"/>
        </w:rPr>
        <w:t xml:space="preserve"> </w:t>
      </w:r>
    </w:p>
    <w:p w:rsidR="00DA198A" w:rsidRDefault="00DA198A" w:rsidP="00DA198A">
      <w:pPr>
        <w:jc w:val="center"/>
        <w:rPr>
          <w:rFonts w:ascii="Times New Roman" w:hAnsi="Times New Roman" w:cs="Times New Roman"/>
          <w:b/>
          <w:sz w:val="36"/>
        </w:rPr>
      </w:pPr>
    </w:p>
    <w:p w:rsidR="00DA198A" w:rsidRPr="00BE0E8C" w:rsidRDefault="00DA198A" w:rsidP="00DA198A">
      <w:pPr>
        <w:pStyle w:val="NormalWeb"/>
        <w:shd w:val="clear" w:color="auto" w:fill="FFFFFF"/>
        <w:spacing w:before="0" w:beforeAutospacing="0" w:after="0" w:afterAutospacing="0"/>
        <w:jc w:val="both"/>
        <w:rPr>
          <w:b/>
          <w:bCs/>
          <w:color w:val="000000"/>
        </w:rPr>
      </w:pPr>
      <w:r w:rsidRPr="00BE0E8C">
        <w:rPr>
          <w:b/>
          <w:bCs/>
          <w:color w:val="000000"/>
        </w:rPr>
        <w:lastRenderedPageBreak/>
        <w:t>Utilisation of Floating Provisions/Counter Cyclical Provisioning Buffer</w:t>
      </w:r>
    </w:p>
    <w:p w:rsidR="00DA198A" w:rsidRPr="00BE0E8C" w:rsidRDefault="00DA198A" w:rsidP="00DA198A">
      <w:pPr>
        <w:pStyle w:val="NormalWeb"/>
        <w:shd w:val="clear" w:color="auto" w:fill="FFFFFF"/>
        <w:spacing w:before="0" w:beforeAutospacing="0" w:after="0" w:afterAutospacing="0"/>
        <w:jc w:val="both"/>
        <w:rPr>
          <w:b/>
          <w:bCs/>
          <w:color w:val="000000"/>
        </w:rPr>
      </w:pPr>
    </w:p>
    <w:p w:rsidR="00DA198A" w:rsidRPr="00BE0E8C" w:rsidRDefault="00DA198A" w:rsidP="00DA198A">
      <w:pPr>
        <w:spacing w:after="0" w:line="240" w:lineRule="auto"/>
        <w:jc w:val="both"/>
        <w:rPr>
          <w:rFonts w:ascii="Times New Roman" w:eastAsia="Times New Roman" w:hAnsi="Times New Roman" w:cs="Times New Roman"/>
          <w:b/>
          <w:color w:val="000000"/>
          <w:sz w:val="24"/>
          <w:szCs w:val="24"/>
          <w:lang w:eastAsia="en-IN"/>
        </w:rPr>
      </w:pPr>
      <w:r w:rsidRPr="00596A95">
        <w:rPr>
          <w:rFonts w:ascii="Times New Roman" w:eastAsia="Times New Roman" w:hAnsi="Times New Roman" w:cs="Times New Roman"/>
          <w:b/>
          <w:color w:val="000000"/>
          <w:sz w:val="24"/>
          <w:szCs w:val="24"/>
          <w:lang w:eastAsia="en-IN"/>
        </w:rPr>
        <w:t>RBI/2021-22/28</w:t>
      </w:r>
      <w:r w:rsidRPr="00BE0E8C">
        <w:rPr>
          <w:rFonts w:ascii="Times New Roman" w:eastAsia="Times New Roman" w:hAnsi="Times New Roman" w:cs="Times New Roman"/>
          <w:b/>
          <w:color w:val="000000"/>
          <w:sz w:val="24"/>
          <w:szCs w:val="24"/>
          <w:lang w:eastAsia="en-IN"/>
        </w:rPr>
        <w:t xml:space="preserve"> </w:t>
      </w:r>
      <w:r w:rsidRPr="00596A95">
        <w:rPr>
          <w:rFonts w:ascii="Times New Roman" w:eastAsia="Times New Roman" w:hAnsi="Times New Roman" w:cs="Times New Roman"/>
          <w:b/>
          <w:color w:val="000000"/>
          <w:sz w:val="24"/>
          <w:szCs w:val="24"/>
          <w:lang w:eastAsia="en-IN"/>
        </w:rPr>
        <w:t>DOR.STR.REC.10/21.04.048/2021-22</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596A95">
        <w:rPr>
          <w:rFonts w:ascii="Times New Roman" w:eastAsia="Times New Roman" w:hAnsi="Times New Roman" w:cs="Times New Roman"/>
          <w:b/>
          <w:color w:val="000000"/>
          <w:sz w:val="24"/>
          <w:szCs w:val="24"/>
          <w:lang w:eastAsia="en-IN"/>
        </w:rPr>
        <w:t>May 5, 2021</w:t>
      </w:r>
    </w:p>
    <w:p w:rsidR="00DA198A" w:rsidRPr="00BE0E8C" w:rsidRDefault="00DA198A" w:rsidP="00DA198A">
      <w:pPr>
        <w:spacing w:after="0" w:line="240" w:lineRule="auto"/>
        <w:jc w:val="both"/>
        <w:rPr>
          <w:rFonts w:ascii="Times New Roman" w:eastAsia="Times New Roman" w:hAnsi="Times New Roman" w:cs="Times New Roman"/>
          <w:b/>
          <w:color w:val="000000"/>
          <w:sz w:val="24"/>
          <w:szCs w:val="24"/>
          <w:lang w:eastAsia="en-IN"/>
        </w:rPr>
      </w:pPr>
    </w:p>
    <w:p w:rsidR="00DA198A" w:rsidRPr="00BE0E8C" w:rsidRDefault="00DA198A" w:rsidP="00DA198A">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 and Payments Banks)</w:t>
      </w:r>
    </w:p>
    <w:p w:rsidR="00DA198A" w:rsidRPr="00BE0E8C" w:rsidRDefault="00DA198A" w:rsidP="00DA198A">
      <w:pPr>
        <w:spacing w:after="0" w:line="240" w:lineRule="auto"/>
        <w:jc w:val="both"/>
        <w:rPr>
          <w:rFonts w:ascii="Times New Roman" w:hAnsi="Times New Roman" w:cs="Times New Roman"/>
          <w:i/>
          <w:color w:val="000000"/>
          <w:sz w:val="24"/>
          <w:szCs w:val="24"/>
          <w:u w:val="single"/>
          <w:shd w:val="clear" w:color="auto" w:fill="FFFFFF"/>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Please refer to our </w:t>
      </w:r>
      <w:hyperlink r:id="rId10" w:tgtFrame="_blank" w:history="1">
        <w:r w:rsidRPr="00BE0E8C">
          <w:rPr>
            <w:rStyle w:val="Hyperlink"/>
          </w:rPr>
          <w:t>circular DBOD.No.BP.BC.89/21.04.048/2005-06 dated June 22, 2006</w:t>
        </w:r>
      </w:hyperlink>
      <w:r w:rsidRPr="00BE0E8C">
        <w:rPr>
          <w:color w:val="000000"/>
        </w:rPr>
        <w:t> and </w:t>
      </w:r>
      <w:hyperlink r:id="rId11" w:tgtFrame="_blank" w:history="1">
        <w:r w:rsidRPr="00BE0E8C">
          <w:rPr>
            <w:rStyle w:val="Hyperlink"/>
          </w:rPr>
          <w:t>DBOD.No.BP.BC.68/21.04.048/2006-07 dated March 13, 2007</w:t>
        </w:r>
      </w:hyperlink>
      <w:r w:rsidRPr="00BE0E8C">
        <w:rPr>
          <w:color w:val="000000"/>
        </w:rPr>
        <w:t> on creation, accounting, disclosures and utilisation of floating provisions by banks. Banks may also refer to our </w:t>
      </w:r>
      <w:hyperlink r:id="rId12" w:tgtFrame="_blank" w:history="1">
        <w:r w:rsidRPr="00BE0E8C">
          <w:rPr>
            <w:rStyle w:val="Hyperlink"/>
          </w:rPr>
          <w:t>circular DBOD.No.BP.BC.87/21.04.048/2010-11 dated April 21, 2011</w:t>
        </w:r>
      </w:hyperlink>
      <w:r w:rsidRPr="00BE0E8C">
        <w:rPr>
          <w:color w:val="000000"/>
        </w:rPr>
        <w:t> on creation and utilisation of ‘countercyclical provisioning buffer’, wherein we had advised that the buffer will be allowed to be used by banks for making specific provisions for non-performing assets, inter alia, during periods of system wide downturn, with the prior approval of RBI.</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Accordingly, in terms of our circulars </w:t>
      </w:r>
      <w:hyperlink r:id="rId13" w:tgtFrame="_blank" w:history="1">
        <w:r w:rsidRPr="00BE0E8C">
          <w:rPr>
            <w:rStyle w:val="Hyperlink"/>
          </w:rPr>
          <w:t>DBOD.No.BP.95/21.04.048/2013-14 dated February 7, 2014</w:t>
        </w:r>
      </w:hyperlink>
      <w:r w:rsidRPr="00BE0E8C">
        <w:rPr>
          <w:color w:val="000000"/>
        </w:rPr>
        <w:t> and </w:t>
      </w:r>
      <w:hyperlink r:id="rId14" w:tgtFrame="_blank" w:history="1">
        <w:r w:rsidRPr="00BE0E8C">
          <w:rPr>
            <w:rStyle w:val="Hyperlink"/>
          </w:rPr>
          <w:t>DBR.No.BP.BC.79/21.04.048/2014-15 dated March 30, 2015</w:t>
        </w:r>
      </w:hyperlink>
      <w:r w:rsidRPr="00BE0E8C">
        <w:rPr>
          <w:color w:val="000000"/>
        </w:rPr>
        <w:t xml:space="preserve">, banks were allowed to utilise </w:t>
      </w:r>
      <w:proofErr w:type="spellStart"/>
      <w:r w:rsidRPr="00BE0E8C">
        <w:rPr>
          <w:color w:val="000000"/>
        </w:rPr>
        <w:t>upto</w:t>
      </w:r>
      <w:proofErr w:type="spellEnd"/>
      <w:r w:rsidRPr="00BE0E8C">
        <w:rPr>
          <w:color w:val="000000"/>
        </w:rPr>
        <w:t xml:space="preserve"> 33 per cent and 50 per cent of floating provisions/ countercyclical provisioning buffer held by them as on March 31, 2013 and December 31, 2014 respectively, for making specific provisions for non-performing assets, as per their Board approved policy.</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xml:space="preserve">3. In order to mitigate the adverse impact of COVID 19 related stress on banks, as a measure to enable capital conservation, it has been decided to allow banks to utilise 100 per cent of floating provisions/ countercyclical provisioning buffer held by them as on December 31, 2020 for making specific provisions for non-performing assets with prior approval of their Boards. Such utilisation is permitted with immediate effect and </w:t>
      </w:r>
      <w:proofErr w:type="spellStart"/>
      <w:r w:rsidRPr="00BE0E8C">
        <w:rPr>
          <w:color w:val="000000"/>
        </w:rPr>
        <w:t>upto</w:t>
      </w:r>
      <w:proofErr w:type="spellEnd"/>
      <w:r w:rsidRPr="00BE0E8C">
        <w:rPr>
          <w:color w:val="000000"/>
        </w:rPr>
        <w:t xml:space="preserve"> March 31, 2022.</w:t>
      </w:r>
    </w:p>
    <w:p w:rsidR="00DA198A" w:rsidRDefault="00DA198A" w:rsidP="00DA198A">
      <w:pPr>
        <w:jc w:val="center"/>
        <w:rPr>
          <w:rFonts w:ascii="Times New Roman" w:hAnsi="Times New Roman" w:cs="Times New Roman"/>
          <w:b/>
          <w:sz w:val="36"/>
        </w:rPr>
      </w:pPr>
    </w:p>
    <w:p w:rsidR="00DA198A" w:rsidRPr="00BE0E8C" w:rsidRDefault="00DA198A" w:rsidP="00DA198A">
      <w:pPr>
        <w:pStyle w:val="NormalWeb"/>
        <w:shd w:val="clear" w:color="auto" w:fill="FFFFFF"/>
        <w:spacing w:before="0" w:beforeAutospacing="0" w:after="0" w:afterAutospacing="0"/>
        <w:jc w:val="both"/>
        <w:rPr>
          <w:b/>
          <w:bCs/>
          <w:color w:val="000000"/>
        </w:rPr>
      </w:pPr>
      <w:r w:rsidRPr="00BE0E8C">
        <w:rPr>
          <w:b/>
          <w:bCs/>
          <w:color w:val="000000"/>
        </w:rPr>
        <w:t>Guidelines for Appointment of Statutory Central Auditors (SCAs)/Statutory Auditors (SAs) of Commercial Banks (excluding RRBs), UCBs and NBFCs (including HFCs)</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 xml:space="preserve">RBI/2021-22/25 </w:t>
      </w:r>
      <w:proofErr w:type="spellStart"/>
      <w:r w:rsidRPr="00BE0E8C">
        <w:rPr>
          <w:b/>
          <w:color w:val="000000"/>
        </w:rPr>
        <w:t>Ref.No.DoS.CO.ARG</w:t>
      </w:r>
      <w:proofErr w:type="spellEnd"/>
      <w:r w:rsidRPr="00BE0E8C">
        <w:rPr>
          <w:b/>
          <w:color w:val="000000"/>
        </w:rPr>
        <w:t xml:space="preserve">/SEC.01/08.91.001/2021-22 </w:t>
      </w:r>
      <w:r w:rsidRPr="00BE0E8C">
        <w:rPr>
          <w:b/>
          <w:color w:val="000000"/>
        </w:rPr>
        <w:tab/>
        <w:t>April 27, 2021</w:t>
      </w:r>
    </w:p>
    <w:p w:rsidR="00DA198A" w:rsidRPr="00BE0E8C" w:rsidRDefault="00DA198A" w:rsidP="00DA198A">
      <w:pPr>
        <w:pStyle w:val="NormalWeb"/>
        <w:shd w:val="clear" w:color="auto" w:fill="FFFFFF"/>
        <w:spacing w:before="0" w:beforeAutospacing="0" w:after="0" w:afterAutospacing="0"/>
        <w:jc w:val="both"/>
        <w:rPr>
          <w:i/>
          <w:color w:val="000000"/>
          <w:shd w:val="clear" w:color="auto" w:fill="FFFFFF"/>
        </w:rPr>
      </w:pPr>
    </w:p>
    <w:p w:rsidR="00DA198A" w:rsidRPr="00BE0E8C" w:rsidRDefault="00DA198A" w:rsidP="00DA198A">
      <w:pPr>
        <w:pStyle w:val="NormalWeb"/>
        <w:shd w:val="clear" w:color="auto" w:fill="FFFFFF"/>
        <w:spacing w:before="0" w:beforeAutospacing="0" w:after="0" w:afterAutospacing="0"/>
        <w:jc w:val="both"/>
        <w:rPr>
          <w:color w:val="000000"/>
          <w:shd w:val="clear" w:color="auto" w:fill="FFFFFF"/>
        </w:rPr>
      </w:pPr>
      <w:r w:rsidRPr="00BE0E8C">
        <w:rPr>
          <w:i/>
          <w:color w:val="000000"/>
          <w:shd w:val="clear" w:color="auto" w:fill="FFFFFF"/>
        </w:rPr>
        <w:t>The Chairman/Managing Director/Chief Executive Officer, All Commercial Banks (Excluding RRBs), All Primary (Urban) Co-operative Banks (UCBs), All Non-Banking Finance Companies (NBFCs) (Including Housing Finance Companies)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The following guidelines are issued under Section 30(1A) of the Banking Regulation Act, 1949, Section 10(1) of the Banking Companies (Acquisition and Transfer of Undertakings) Act, 1970/1980 and Section 41(1) of SBI Act, 1955; and under provisions of Chapter IIIB of RBI Act, 1934 for NBFCs. These guidelines supersede all previous guidelines (list enclosed at </w:t>
      </w:r>
      <w:hyperlink r:id="rId15" w:anchor="T1" w:history="1">
        <w:r w:rsidRPr="00BE0E8C">
          <w:rPr>
            <w:rStyle w:val="Hyperlink"/>
          </w:rPr>
          <w:t>Table 1</w:t>
        </w:r>
      </w:hyperlink>
      <w:r w:rsidRPr="00BE0E8C">
        <w:rPr>
          <w:color w:val="000000"/>
        </w:rPr>
        <w:t>) issued on the subject.</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2. Applicability:</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2.1 These guidelines will be applicable to the </w:t>
      </w:r>
      <w:r w:rsidRPr="00BE0E8C">
        <w:rPr>
          <w:rStyle w:val="head1"/>
          <w:b/>
          <w:bCs/>
          <w:color w:val="000000"/>
        </w:rPr>
        <w:t>Commercial Banks (excluding RRBs), UCBs and NBFCs including HFCs (hereinafter referred to as the Entities)</w:t>
      </w:r>
      <w:r w:rsidRPr="00BE0E8C">
        <w:rPr>
          <w:color w:val="000000"/>
        </w:rPr>
        <w:t> for Financial Year 2021-22 and onwards in respect of appointment/reappointment of SCAs/SAs</w:t>
      </w:r>
      <w:hyperlink r:id="rId16" w:anchor="FT1" w:history="1">
        <w:r w:rsidRPr="00BE0E8C">
          <w:rPr>
            <w:rStyle w:val="Hyperlink"/>
            <w:vertAlign w:val="superscript"/>
          </w:rPr>
          <w:t>1</w:t>
        </w:r>
      </w:hyperlink>
      <w:r w:rsidRPr="00BE0E8C">
        <w:rPr>
          <w:color w:val="000000"/>
        </w:rPr>
        <w:t> of the Entities. However, non-deposit taking NBFCs with asset size</w:t>
      </w:r>
      <w:hyperlink r:id="rId17" w:anchor="FT2" w:history="1">
        <w:r w:rsidRPr="00BE0E8C">
          <w:rPr>
            <w:rStyle w:val="Hyperlink"/>
            <w:vertAlign w:val="superscript"/>
          </w:rPr>
          <w:t>2</w:t>
        </w:r>
      </w:hyperlink>
      <w:r w:rsidRPr="00BE0E8C">
        <w:rPr>
          <w:color w:val="000000"/>
        </w:rPr>
        <w:t> below ₹1,000 crore have the option to continue with their extant procedure.</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lastRenderedPageBreak/>
        <w:t>2.2 As RBI guidelines regarding appointment of SCAs/SAs shall be implemented for the first time for UCBs and NBFCs from FY 2021-22, they shall have the flexibility to adopt these guidelines from H2 (second half) of FY 2021-22 in order to ensure that there is no disruption.</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3. Prior Approval of RBI:</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3.1 Commercial Banks (excluding RRBs) and UCBs will be required to take prior approval of RBI (Department of Supervision) for appointment/reappointment of SCAs/SAs, on an annual basis in terms of the above-mentioned statutory provisions. For the purpose, they should apply to Department of Supervision, RBI before 31st July of the reference year and the Public Sector Banks (PSBs) shall approach RBI within one month of receipt of list of eligible audit firms from RBI.</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3.2 For the purpose, all Commercial Banks (excluding RRBs) in India and UCBs under Mumbai Region shall approach the Central Office of RBI (Department of Supervision). Other UCBs shall approach the concerned Regional Office of RBI (Department of Supervision), under whose jurisdiction their Head Office is located.</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3.3 While NBFCs do not have to take prior approval of RBI for appointment of SCAs/SAs, all NBFCs need to inform RBI (to the same office as applicable to UCBs, as stated in Para 3.2 above) about the appointment of SCAs/SAs for each year by way of a certificate in </w:t>
      </w:r>
      <w:hyperlink r:id="rId18" w:anchor="FA" w:history="1">
        <w:r w:rsidRPr="00BE0E8C">
          <w:rPr>
            <w:rStyle w:val="Hyperlink"/>
          </w:rPr>
          <w:t>Form A</w:t>
        </w:r>
      </w:hyperlink>
      <w:r w:rsidRPr="00BE0E8C">
        <w:rPr>
          <w:color w:val="000000"/>
        </w:rPr>
        <w:t> within one month of such appointment.</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4. Number of SCAs / SAs and Branch Coverage</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4.1 For Entities with asset size of ₹15,000 </w:t>
      </w:r>
      <w:proofErr w:type="gramStart"/>
      <w:r w:rsidRPr="00BE0E8C">
        <w:rPr>
          <w:color w:val="000000"/>
        </w:rPr>
        <w:t>crore</w:t>
      </w:r>
      <w:proofErr w:type="gramEnd"/>
      <w:r w:rsidRPr="00BE0E8C">
        <w:rPr>
          <w:color w:val="000000"/>
        </w:rPr>
        <w:t xml:space="preserve"> and above as at the end of previous year, the statutory audit should be conducted under joint audit of a minimum of two audit firms [Partnership firms/Limited Liability Partnerships (LLPs)]. All other Entities should appoint a minimum of one audit firm (Partnership firm/LLPs) for conducting statutory audit. It shall be ensured that joint auditors of the Entity do not have any common partners and they are not under the same network</w:t>
      </w:r>
      <w:hyperlink r:id="rId19" w:anchor="FT3" w:history="1">
        <w:r w:rsidRPr="00BE0E8C">
          <w:rPr>
            <w:rStyle w:val="Hyperlink"/>
            <w:vertAlign w:val="superscript"/>
          </w:rPr>
          <w:t>3</w:t>
        </w:r>
      </w:hyperlink>
      <w:r w:rsidRPr="00BE0E8C">
        <w:rPr>
          <w:color w:val="000000"/>
        </w:rPr>
        <w:t> of audit firms. Further, the Entity may finalise the work allocation among SCAs/SAs, before the commencement of the statutory audit, in consultation with their SCAs/SAs.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4.2 The Entities should decide on the number of SCAs/SAs based on a Board/Local Management Committee (LMC) Approved Policy, inter alia, taking into account the relevant factors such as the size and spread of assets, accounting and administrative units, complexity of transactions, level of computerization, availability of other independent audit inputs, identified risks in financial reporting, etc.</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Considering the above factors and the requirements of the Entity, the actual number of SCAs/SAs to be appointed shall be decided by the respective Boards/LMC, subject to the following limits:</w:t>
      </w:r>
    </w:p>
    <w:p w:rsidR="00DA198A" w:rsidRPr="00BE0E8C" w:rsidRDefault="00DA198A" w:rsidP="00DA198A">
      <w:pPr>
        <w:pStyle w:val="NormalWeb"/>
        <w:shd w:val="clear" w:color="auto" w:fill="FFFFFF"/>
        <w:spacing w:before="0" w:beforeAutospacing="0" w:after="0" w:afterAutospacing="0"/>
        <w:jc w:val="both"/>
        <w:rPr>
          <w:color w:val="000000"/>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4256"/>
        <w:gridCol w:w="2380"/>
      </w:tblGrid>
      <w:tr w:rsidR="00DA198A" w:rsidRPr="00BE0E8C" w:rsidTr="00CC004A">
        <w:trPr>
          <w:jc w:val="center"/>
        </w:trPr>
        <w:tc>
          <w:tcPr>
            <w:tcW w:w="400" w:type="pct"/>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Sl. No.</w:t>
            </w:r>
          </w:p>
        </w:tc>
        <w:tc>
          <w:tcPr>
            <w:tcW w:w="2950" w:type="pct"/>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Asset Size of the Entity</w:t>
            </w:r>
          </w:p>
        </w:tc>
        <w:tc>
          <w:tcPr>
            <w:tcW w:w="1650" w:type="pct"/>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Maximum number of SCAs/SAs</w:t>
            </w:r>
          </w:p>
        </w:tc>
      </w:tr>
      <w:tr w:rsidR="00DA198A" w:rsidRPr="00BE0E8C" w:rsidTr="00CC004A">
        <w:trPr>
          <w:jc w:val="center"/>
        </w:trPr>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both"/>
              <w:rPr>
                <w:rFonts w:ascii="Times New Roman" w:hAnsi="Times New Roman" w:cs="Times New Roman"/>
                <w:color w:val="000000"/>
                <w:sz w:val="24"/>
                <w:szCs w:val="24"/>
              </w:rPr>
            </w:pPr>
            <w:proofErr w:type="spellStart"/>
            <w:r w:rsidRPr="00BE0E8C">
              <w:rPr>
                <w:rFonts w:ascii="Times New Roman" w:hAnsi="Times New Roman" w:cs="Times New Roman"/>
                <w:color w:val="000000"/>
                <w:sz w:val="24"/>
                <w:szCs w:val="24"/>
              </w:rPr>
              <w:t>Upto</w:t>
            </w:r>
            <w:proofErr w:type="spellEnd"/>
            <w:r w:rsidRPr="00BE0E8C">
              <w:rPr>
                <w:rFonts w:ascii="Times New Roman" w:hAnsi="Times New Roman" w:cs="Times New Roman"/>
                <w:color w:val="000000"/>
                <w:sz w:val="24"/>
                <w:szCs w:val="24"/>
              </w:rPr>
              <w:t xml:space="preserve"> ₹5,00,000 crore</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r>
      <w:tr w:rsidR="00DA198A" w:rsidRPr="00BE0E8C" w:rsidTr="00CC004A">
        <w:trPr>
          <w:jc w:val="center"/>
        </w:trPr>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Above ₹ 5,00,000 crore and </w:t>
            </w:r>
            <w:proofErr w:type="spellStart"/>
            <w:r w:rsidRPr="00BE0E8C">
              <w:rPr>
                <w:rFonts w:ascii="Times New Roman" w:hAnsi="Times New Roman" w:cs="Times New Roman"/>
                <w:color w:val="000000"/>
                <w:sz w:val="24"/>
                <w:szCs w:val="24"/>
              </w:rPr>
              <w:t>Upto</w:t>
            </w:r>
            <w:proofErr w:type="spellEnd"/>
            <w:r w:rsidRPr="00BE0E8C">
              <w:rPr>
                <w:rFonts w:ascii="Times New Roman" w:hAnsi="Times New Roman" w:cs="Times New Roman"/>
                <w:color w:val="000000"/>
                <w:sz w:val="24"/>
                <w:szCs w:val="24"/>
              </w:rPr>
              <w:t xml:space="preserve"> ₹ 10,00,000 crore</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r>
      <w:tr w:rsidR="00DA198A" w:rsidRPr="00BE0E8C" w:rsidTr="00CC004A">
        <w:trPr>
          <w:jc w:val="center"/>
        </w:trPr>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Above ₹ 10,00,000 crore and </w:t>
            </w:r>
            <w:proofErr w:type="spellStart"/>
            <w:r w:rsidRPr="00BE0E8C">
              <w:rPr>
                <w:rFonts w:ascii="Times New Roman" w:hAnsi="Times New Roman" w:cs="Times New Roman"/>
                <w:color w:val="000000"/>
                <w:sz w:val="24"/>
                <w:szCs w:val="24"/>
              </w:rPr>
              <w:t>Upto</w:t>
            </w:r>
            <w:proofErr w:type="spellEnd"/>
            <w:r w:rsidRPr="00BE0E8C">
              <w:rPr>
                <w:rFonts w:ascii="Times New Roman" w:hAnsi="Times New Roman" w:cs="Times New Roman"/>
                <w:color w:val="000000"/>
                <w:sz w:val="24"/>
                <w:szCs w:val="24"/>
              </w:rPr>
              <w:t xml:space="preserve"> ₹ 20,00,000 crore</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8</w:t>
            </w:r>
          </w:p>
        </w:tc>
      </w:tr>
      <w:tr w:rsidR="00DA198A" w:rsidRPr="00BE0E8C" w:rsidTr="00CC004A">
        <w:trPr>
          <w:jc w:val="center"/>
        </w:trPr>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Above ₹ 20,00,000 crore</w:t>
            </w:r>
          </w:p>
        </w:tc>
        <w:tc>
          <w:tcPr>
            <w:tcW w:w="0" w:type="auto"/>
            <w:tcMar>
              <w:top w:w="0" w:type="dxa"/>
              <w:left w:w="45" w:type="dxa"/>
              <w:bottom w:w="0" w:type="dxa"/>
              <w:right w:w="45" w:type="dxa"/>
            </w:tcMar>
            <w:vAlign w:val="center"/>
            <w:hideMark/>
          </w:tcPr>
          <w:p w:rsidR="00DA198A" w:rsidRPr="00BE0E8C" w:rsidRDefault="00DA198A" w:rsidP="00CC004A">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12</w:t>
            </w:r>
          </w:p>
        </w:tc>
      </w:tr>
    </w:tbl>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The above limits have been prescribed to ensure that the number of SCAs/SAs appointed by the Entities are adequate, commensurate with the asset size and extent of operations of the </w:t>
      </w:r>
      <w:r w:rsidRPr="00BE0E8C">
        <w:rPr>
          <w:color w:val="000000"/>
        </w:rPr>
        <w:lastRenderedPageBreak/>
        <w:t>Entities, with a view to ensure that audits are conducted in a timely and effective manner. This will be subject to review in future based on the experience.</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4.3 In terms of RBI guidelines on ‘Norms on eligibility, empanelment and selection of Statutory Branch Auditors in Public Sector Banks (PSBs)’, PSBs shall allot the Top 20 branches (to be selected strictly in order of the level of outstanding advances) to SCAs in such a manner as to cover a minimum of 15% of total gross advances of the bank by SCAs. For other Entities (excluding Payment Banks and Core Investment Companies), SCAs/SAs shall visit and audit at least the Top 20 branches/Top 20% of the branches of the Entities (in case of Entities having less than 100 branches), to be selected in order of the level of outstanding advances, in such a manner as to cover a minimum of 15% of total gross advances of the Entities. In addition, the banking companies and NBFCs shall ensure adherence to the provisions of Section 143 (8) of the Companies Act, 2013 regarding audit of accounts of all branches.</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5. Eligibility Criteria of Auditors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Each Entity is required to appoint audit firm(s) as its SCA(s)/SA(s) fulfilling the eligibility norms as prescribed in </w:t>
      </w:r>
      <w:hyperlink r:id="rId20" w:anchor="AN1" w:history="1">
        <w:r w:rsidRPr="00BE0E8C">
          <w:rPr>
            <w:rStyle w:val="Hyperlink"/>
          </w:rPr>
          <w:t>Annex I</w:t>
        </w:r>
      </w:hyperlink>
      <w:r w:rsidRPr="00BE0E8C">
        <w:rPr>
          <w:color w:val="000000"/>
        </w:rPr>
        <w:t>.</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6. Independence of Auditors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6.1 For Commercial Banks (excluding RRBs) and NBFCs</w:t>
      </w:r>
      <w:hyperlink r:id="rId21" w:anchor="FT4" w:history="1">
        <w:r w:rsidRPr="00BE0E8C">
          <w:rPr>
            <w:rStyle w:val="Hyperlink"/>
            <w:vertAlign w:val="superscript"/>
          </w:rPr>
          <w:t>4</w:t>
        </w:r>
      </w:hyperlink>
      <w:r w:rsidRPr="00BE0E8C">
        <w:rPr>
          <w:color w:val="000000"/>
        </w:rPr>
        <w:t>, the Audit Committee of the Board (ACB)/ LMC shall monitor and assess the independence of the auditors and conflict of interest position in terms of relevant regulatory provisions, standards and best practices. Any concerns in this regard may be flagged by the ACB/LMC to the Board of Directors of the Commercial Bank (excluding RRBs)/NBFC and concerned Senior Supervisory Manager (SSM)/Regional Office (RO) of RBI.</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For UCBs/remaining NBFCs, the Board of Directors shall monitor and assess the independence of the auditors. Any concerns in this regard may be flagged by the Board of the UCB/NBFC to the concerned SSM/RO of RBI.</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6.2 In case of any concern with the Management of the Entities such as non-availability of information/non-cooperation by the Management, which may hamper the audit process, the SCAs/SAs shall approach the Board</w:t>
      </w:r>
      <w:hyperlink r:id="rId22" w:anchor="FT5" w:history="1">
        <w:r w:rsidRPr="00BE0E8C">
          <w:rPr>
            <w:rStyle w:val="Hyperlink"/>
            <w:vertAlign w:val="superscript"/>
          </w:rPr>
          <w:t>5</w:t>
        </w:r>
      </w:hyperlink>
      <w:r w:rsidRPr="00BE0E8C">
        <w:rPr>
          <w:color w:val="000000"/>
        </w:rPr>
        <w:t>/ACB/LMC of the Entity, under intimation to the concerned SSM/RO of RBI.</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6.3 Concurrent auditors of the Entity should not be considered for appointment as SCAs/SAs of the same Entity. The audit of the Entity and any entity with large exposure</w:t>
      </w:r>
      <w:hyperlink r:id="rId23" w:anchor="FT6" w:history="1">
        <w:r w:rsidRPr="00BE0E8C">
          <w:rPr>
            <w:rStyle w:val="Hyperlink"/>
            <w:vertAlign w:val="superscript"/>
          </w:rPr>
          <w:t>6</w:t>
        </w:r>
      </w:hyperlink>
      <w:r w:rsidRPr="00BE0E8C">
        <w:rPr>
          <w:color w:val="000000"/>
        </w:rPr>
        <w:t> to the Entity for the same reference year should also be explicitly factored in while assessing independence of the auditor.</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6.4 The time gap between any non-audit works (services mentioned at Section 144 of Companies Act, 2013, Internal assignments, special assignments, etc.) by the SCAs/SAs for the Entities or any audit/non-audit works for its group entities should be at least one year, before or after its appointment as SCAs/SAs. However, during the tenure as SCA/SA, an audit firm may provide such services to the concerned Entities which may not normally result in a conflict of interest</w:t>
      </w:r>
      <w:hyperlink r:id="rId24" w:anchor="FT7" w:history="1">
        <w:r w:rsidRPr="00BE0E8C">
          <w:rPr>
            <w:rStyle w:val="Hyperlink"/>
            <w:vertAlign w:val="superscript"/>
          </w:rPr>
          <w:t>7</w:t>
        </w:r>
      </w:hyperlink>
      <w:r w:rsidRPr="00BE0E8C">
        <w:rPr>
          <w:color w:val="000000"/>
        </w:rPr>
        <w:t>, and Entities may take their own decision in this regard, in consultation with the Board/ACB/LMC.</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6.5 The restrictions as detailed in para 6.3 and 6.4 above, should also apply to an audit firm under the same network</w:t>
      </w:r>
      <w:hyperlink r:id="rId25" w:anchor="FT8" w:history="1">
        <w:r w:rsidRPr="00BE0E8C">
          <w:rPr>
            <w:rStyle w:val="Hyperlink"/>
            <w:vertAlign w:val="superscript"/>
          </w:rPr>
          <w:t>8</w:t>
        </w:r>
      </w:hyperlink>
      <w:r w:rsidRPr="00BE0E8C">
        <w:rPr>
          <w:color w:val="000000"/>
        </w:rPr>
        <w:t> of audit firms or any other audit firm having common partners.</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7. Professional Standards of SCAs/SAs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7.1 The SCAs/SAs shall be strictly guided by the relevant professional standards in discharge of their audit responsibilities with highest diligence.</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lastRenderedPageBreak/>
        <w:t>7.2 The Board</w:t>
      </w:r>
      <w:hyperlink r:id="rId26" w:anchor="FT9" w:history="1">
        <w:r w:rsidRPr="00BE0E8C">
          <w:rPr>
            <w:rStyle w:val="Hyperlink"/>
            <w:vertAlign w:val="superscript"/>
          </w:rPr>
          <w:t>9</w:t>
        </w:r>
      </w:hyperlink>
      <w:r w:rsidRPr="00BE0E8C">
        <w:rPr>
          <w:color w:val="000000"/>
        </w:rPr>
        <w:t>/ACB/LMC of Entities shall review the performance of SCAs/SAs on an annual basis. Any serious lapses/negligence in audit responsibilities or conduct issues on part of the SCAs/SAs or any other matter considered as relevant shall be reported</w:t>
      </w:r>
      <w:hyperlink r:id="rId27" w:anchor="FT10" w:history="1">
        <w:r w:rsidRPr="00BE0E8C">
          <w:rPr>
            <w:rStyle w:val="Hyperlink"/>
            <w:vertAlign w:val="superscript"/>
          </w:rPr>
          <w:t>10</w:t>
        </w:r>
      </w:hyperlink>
      <w:r w:rsidRPr="00BE0E8C">
        <w:rPr>
          <w:color w:val="000000"/>
        </w:rPr>
        <w:t> to RBI within two months from completion of the annual audit. Such reports should be sent with the approval/recommendation of the Board/ACB/LMC, with the full details of the audit firm.</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7.3 In the event of lapses in carrying out audit assignments resulting in misstatement of an Entity’s financial statements, and any violations/lapses vis-à-vis the RBI’s directions/guidelines regarding the role and responsibilities of the SCAs/SAs in relation to Entities, the SCAs/SAs would be liable to be dealt with suitably under the relevant statutory/regulatory framework.</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8. Tenure and Rotation</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8.1. In order to protect the independence of the auditors/audit firms, Entities will have to appoint the SCAs/SAs for a continuous period of three years</w:t>
      </w:r>
      <w:hyperlink r:id="rId28" w:anchor="FT11" w:history="1">
        <w:r w:rsidRPr="00BE0E8C">
          <w:rPr>
            <w:rStyle w:val="Hyperlink"/>
            <w:vertAlign w:val="superscript"/>
          </w:rPr>
          <w:t>11</w:t>
        </w:r>
      </w:hyperlink>
      <w:r w:rsidRPr="00BE0E8C">
        <w:rPr>
          <w:color w:val="000000"/>
        </w:rPr>
        <w:t xml:space="preserve">, subject to the firms satisfying the eligibility norms each year. Further, Commercial Banks (excluding RRBs) and UCBs can remove the audit firms during the above period only with the prior approval of the concerned office of RBI (Department of Supervision), as applicable for prior approval for appointment, as mentioned at Para 3.2 of this circular. NBFCs removing the SCAs/SAs before completion of three </w:t>
      </w:r>
      <w:proofErr w:type="gramStart"/>
      <w:r w:rsidRPr="00BE0E8C">
        <w:rPr>
          <w:color w:val="000000"/>
        </w:rPr>
        <w:t>years</w:t>
      </w:r>
      <w:proofErr w:type="gramEnd"/>
      <w:r w:rsidRPr="00BE0E8C">
        <w:rPr>
          <w:color w:val="000000"/>
        </w:rPr>
        <w:t xml:space="preserve"> tenure shall inform concerned SSM/RO at RBI about it, along with reasons/justification for the same, within a month of such a decision being taken.</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8.2 An audit firm would not be eligible for reappointment in the same Entity for six years (two tenures) after completion of full or part of one term of the audit tenure</w:t>
      </w:r>
      <w:hyperlink r:id="rId29" w:anchor="FT12" w:history="1">
        <w:r w:rsidRPr="00BE0E8C">
          <w:rPr>
            <w:rStyle w:val="Hyperlink"/>
            <w:vertAlign w:val="superscript"/>
          </w:rPr>
          <w:t>12</w:t>
        </w:r>
      </w:hyperlink>
      <w:r w:rsidRPr="00BE0E8C">
        <w:rPr>
          <w:color w:val="000000"/>
        </w:rPr>
        <w:t>. However, audit firms can continue to undertake statutory audit of other Entities.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8.3. One audit firm can concurrently take up statutory audit of a maximum of four Commercial Banks [including not more than one PSB or one All India Financial Institution (NABARD, SIDBI, NHB, EXIM Bank) or RBI], eight UCBs and eight NBFCs during a particular year, subject to compliance with required eligibility criteria and other conditions for each Entity and within overall ceiling prescribed by any other statutes or rules. For clarity, the limits prescribed for UCBs exclude audit of other co-operative societies by the same audit firm. For the purpose of this circular, a group of audit firms having common partners and/or under the same network, will be considered as one entity and they will be considered for allotment of SCA/SA accordingly. Shared/Sub-contracted audit by any other/associate audit firm under the same network of audit firms is not permissible. The incoming audit firm shall not be eligible if such audit firm is associated with the outgoing auditor or audit firm under the same network of audit firms.</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9. Audit Fees and Expenses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9.1 The audit fees for SCAs/SAs of all the Entities shall be decided in terms of the relevant statutory/regulatory provisions. Public Sector Banks will continue to be guided by relevant RBI instructions in the matter.</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9.2 The audit fees for SCAs/SAs of all the Entities shall be reasonable and commensurate with the scope and coverage of audit, size and spread of assets, accounting and administrative units, complexity of transactions, level of computerization, identified risks in financial reporting, etc.</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9.3 The Board/ACB/LMC of Entities shall make recommendation to the competent authority as per the relevant statutory/regulatory instructions for fixing audit fees of SCAs/SAs.</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10. Statutory Audit Policy and Appointment Procedure</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10.1 Each Entity shall formulate a Board/LMC Approved Policy to be hosted on its official website/public domain and formulate necessary procedure thereunder to be followed for appointment of SCAs/SAs. Apart from conforming to all relevant statutory/regulatory </w:t>
      </w:r>
      <w:r w:rsidRPr="00BE0E8C">
        <w:rPr>
          <w:color w:val="000000"/>
        </w:rPr>
        <w:lastRenderedPageBreak/>
        <w:t>requirements in addition to these instructions, this should afford necessary transparency and objectivity for most key aspects of this important assurance function.</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10.2 Guidelines on minimum procedural requirements are given at </w:t>
      </w:r>
      <w:hyperlink r:id="rId30" w:anchor="AN2" w:history="1">
        <w:r w:rsidRPr="00BE0E8C">
          <w:rPr>
            <w:rStyle w:val="Hyperlink"/>
          </w:rPr>
          <w:t>Annex II</w:t>
        </w:r>
      </w:hyperlink>
      <w:r w:rsidRPr="00BE0E8C">
        <w:rPr>
          <w:color w:val="000000"/>
        </w:rPr>
        <w:t>.</w:t>
      </w:r>
    </w:p>
    <w:p w:rsidR="00DA198A" w:rsidRPr="00BE0E8C" w:rsidRDefault="00DA198A" w:rsidP="00DA198A">
      <w:pPr>
        <w:pStyle w:val="NormalWeb"/>
        <w:pBdr>
          <w:bottom w:val="single" w:sz="12" w:space="1" w:color="auto"/>
        </w:pBdr>
        <w:shd w:val="clear" w:color="auto" w:fill="FFFFFF"/>
        <w:spacing w:before="0" w:beforeAutospacing="0" w:after="0" w:afterAutospacing="0"/>
        <w:jc w:val="both"/>
        <w:rPr>
          <w:color w:val="000000"/>
        </w:rPr>
      </w:pPr>
    </w:p>
    <w:p w:rsidR="00DA198A" w:rsidRPr="00BE0E8C" w:rsidRDefault="00C66C9C" w:rsidP="00DA198A">
      <w:pPr>
        <w:pStyle w:val="NormalWeb"/>
        <w:pBdr>
          <w:bottom w:val="single" w:sz="12" w:space="1" w:color="auto"/>
        </w:pBdr>
        <w:shd w:val="clear" w:color="auto" w:fill="FFFFFF"/>
        <w:spacing w:before="0" w:beforeAutospacing="0" w:after="0" w:afterAutospacing="0"/>
        <w:jc w:val="both"/>
        <w:rPr>
          <w:color w:val="000000"/>
        </w:rPr>
      </w:pPr>
      <w:hyperlink r:id="rId31" w:history="1">
        <w:r w:rsidR="00DA198A" w:rsidRPr="00BE0E8C">
          <w:rPr>
            <w:rStyle w:val="Hyperlink"/>
          </w:rPr>
          <w:t>https://www.rbi.org.in/Scripts/NotificationUser.aspx?Id=12079&amp;Mode=0</w:t>
        </w:r>
      </w:hyperlink>
    </w:p>
    <w:p w:rsidR="00DA198A" w:rsidRPr="00BE0E8C" w:rsidRDefault="00DA198A" w:rsidP="00DA198A">
      <w:pPr>
        <w:pStyle w:val="NormalWeb"/>
        <w:shd w:val="clear" w:color="auto" w:fill="FFFFFF"/>
        <w:spacing w:before="0" w:beforeAutospacing="0" w:after="0" w:afterAutospacing="0"/>
        <w:jc w:val="both"/>
        <w:rPr>
          <w:b/>
          <w:bCs/>
          <w:color w:val="000000"/>
        </w:rPr>
      </w:pPr>
      <w:r w:rsidRPr="00BE0E8C">
        <w:rPr>
          <w:b/>
          <w:bCs/>
          <w:color w:val="000000"/>
        </w:rPr>
        <w:t>Corporate Governance in Banks - Appointment of Directors and Constitution of Committees of the Board</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RBI/2021-22/24 DOR.GOV.REC.8/29.67.001/2021-22</w:t>
      </w:r>
      <w:r w:rsidRPr="00BE0E8C">
        <w:rPr>
          <w:b/>
          <w:color w:val="000000"/>
        </w:rPr>
        <w:tab/>
      </w:r>
      <w:r w:rsidRPr="00BE0E8C">
        <w:rPr>
          <w:b/>
          <w:color w:val="000000"/>
        </w:rPr>
        <w:tab/>
      </w:r>
      <w:r w:rsidRPr="00BE0E8C">
        <w:rPr>
          <w:b/>
          <w:color w:val="000000"/>
        </w:rPr>
        <w:tab/>
        <w:t>April 26, 2021</w:t>
      </w:r>
    </w:p>
    <w:p w:rsidR="00DA198A" w:rsidRPr="00BE0E8C" w:rsidRDefault="00DA198A" w:rsidP="00DA198A">
      <w:pPr>
        <w:pStyle w:val="NormalWeb"/>
        <w:shd w:val="clear" w:color="auto" w:fill="FFFFFF"/>
        <w:spacing w:before="0" w:beforeAutospacing="0" w:after="0" w:afterAutospacing="0"/>
        <w:jc w:val="both"/>
        <w:rPr>
          <w:i/>
          <w:color w:val="000000"/>
          <w:shd w:val="clear" w:color="auto" w:fill="FFFFFF"/>
        </w:rPr>
      </w:pPr>
    </w:p>
    <w:p w:rsidR="00DA198A" w:rsidRPr="00BE0E8C" w:rsidRDefault="00DA198A" w:rsidP="00DA198A">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To Commercial Banks (as per applicability)</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A Discussion Paper on ‘</w:t>
      </w:r>
      <w:hyperlink r:id="rId32" w:tgtFrame="_blank" w:history="1">
        <w:r w:rsidRPr="00BE0E8C">
          <w:rPr>
            <w:rStyle w:val="Hyperlink"/>
          </w:rPr>
          <w:t>Governance in Commercial Banks in India</w:t>
        </w:r>
      </w:hyperlink>
      <w:r w:rsidRPr="00BE0E8C">
        <w:rPr>
          <w:color w:val="000000"/>
        </w:rPr>
        <w:t>’ was issued by the Reserve Bank on June 11, 2020 to review the framework for governance in the commercial banks. Based on the feedback received, a comprehensive review of the framework has been done, and a Master Direction on Governance will be issued in due course. In order to address a few operative aspects received through such feedback, it has been decided to issue instructions with regard to the Chair and meetings of the board, composition of certain committees of the board, age, tenure and remuneration of directors, and appointment of the whole-time directors (WTDs).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Applicability</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The revised instructions would be applicable to all the Private Sector Banks including Small Finance Banks (SFBs) and wholly owned subsidiaries of Foreign Banks. In respect of State Bank of India and Nationalised Banks, these guidelines would apply to the extent the stipulations are not inconsistent with provisions of specific statutes applicable to these banks or instructions issued under the statutes. The contents of this circular must be read along with other relevant governing statutes and shall be applicable notwithstanding anything to the contrary contained in the licensing conditions, notifications, directions, regulations, guidelines, instructions, etc., issued by the Reserve Bank before the issue of this circular. The circular will not be applicable in the case of foreign banks operating as branches in India. The applicability to other commercial banks viz., Local Area Banks, Payments Banks and Regional Rural Banks will be notified separately.</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Chair and meetings of the Board</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3. The Chair of the board shall be an independent director. In the absence of the Chair of the board, the meetings of the board shall be chaired by an independent director. The quorum for the board meetings shall be one-third of the total strength of the board or three directors, whichever is higher. At least half of the directors attending the meetings of the board shall be independent directors.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Committees of the Board</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(a) Audit Committee of the Board (ACB)</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4. The ACB shall be constituted with only non-executive directors (NEDs). The Chair of the board shall not be a member of the ACB. The ACB shall meet with a quorum of three members. At least two-thirds of the members attending the meeting of the ACB shall be independent directors</w:t>
      </w:r>
      <w:hyperlink r:id="rId33" w:anchor="F1" w:history="1">
        <w:r w:rsidRPr="00BE0E8C">
          <w:rPr>
            <w:rStyle w:val="Hyperlink"/>
            <w:vertAlign w:val="superscript"/>
          </w:rPr>
          <w:t>1</w:t>
        </w:r>
      </w:hyperlink>
      <w:r w:rsidRPr="00BE0E8C">
        <w:rPr>
          <w:color w:val="000000"/>
        </w:rPr>
        <w:t xml:space="preserve">. The ACB shall meet at least once in a quarter. The meetings of the ACB shall be chaired by an independent director who shall not chair any other committee of the Board. The Chair of the ACB shall not be a member of any committee of the board which has a mandate </w:t>
      </w:r>
      <w:r w:rsidRPr="00BE0E8C">
        <w:rPr>
          <w:color w:val="000000"/>
        </w:rPr>
        <w:lastRenderedPageBreak/>
        <w:t>of sanctioning credit exposures. All members should have the ability to understand all financial statements as well as the notes/ reports attached thereto and at least one member shall have requisite professional expertise/ qualification in financial accounting or financial management [e.g., experience in application of accounting standards and practices, including internal controls around it].</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(b) Risk Management Committee of the Board (RMCB)</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5. The board shall constitute an RMCB with a majority of NEDs. The RMCB shall meet with a quorum of three members. At least half of the members attending the meeting of the RMCB shall be independent directors of which at least one member shall have professional expertise/ qualification in risk management</w:t>
      </w:r>
      <w:hyperlink r:id="rId34" w:anchor="F2" w:history="1">
        <w:r w:rsidRPr="00BE0E8C">
          <w:rPr>
            <w:rStyle w:val="Hyperlink"/>
            <w:vertAlign w:val="superscript"/>
          </w:rPr>
          <w:t>2</w:t>
        </w:r>
      </w:hyperlink>
      <w:r w:rsidRPr="00BE0E8C">
        <w:rPr>
          <w:color w:val="000000"/>
        </w:rPr>
        <w:t>. Meetings of RMCB shall be chaired by an independent director who shall not be a Chair of the board or any other committee of the board. The Chair of the board may be a member of the RMCB only if he/she has the requisite risk management expertise. The RMCB shall meet at least once in each quarter.</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(c) Nomination and Remuneration Committee (NRC)</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6. The board shall constitute an NRC made up of only NEDs. The NRC shall meet with a quorum of three members. At least half of the members attending the meeting of the NRC shall be independent directors, of which one shall be a member of the RMCB. The meetings of the NRC shall be chaired by an independent director. The Chair of the board shall not chair the NRC. The meeting of NRC may be held as and when required</w:t>
      </w:r>
      <w:hyperlink r:id="rId35" w:anchor="F3" w:history="1">
        <w:r w:rsidRPr="00BE0E8C">
          <w:rPr>
            <w:rStyle w:val="Hyperlink"/>
            <w:vertAlign w:val="superscript"/>
          </w:rPr>
          <w:t>3</w:t>
        </w:r>
      </w:hyperlink>
      <w:r w:rsidRPr="00BE0E8C">
        <w:rPr>
          <w:color w:val="000000"/>
        </w:rPr>
        <w:t>.</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Age and tenure of NEDs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7. The upper age limit for NEDs, including the Chair of the board, shall be 75 years and after attaining the age of 75 years no person can continue in these positions</w:t>
      </w:r>
      <w:hyperlink r:id="rId36" w:anchor="F4" w:history="1">
        <w:r w:rsidRPr="00BE0E8C">
          <w:rPr>
            <w:rStyle w:val="Hyperlink"/>
            <w:vertAlign w:val="superscript"/>
          </w:rPr>
          <w:t>4</w:t>
        </w:r>
      </w:hyperlink>
      <w:r w:rsidRPr="00BE0E8C">
        <w:rPr>
          <w:color w:val="000000"/>
        </w:rPr>
        <w:t>.</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8. The total tenure of an NED, continuously or otherwise, on the board of a bank, shall not exceed eight years. After completing eight years on the board of a bank the person may be considered for re-appointment only after a minimum gap of three years.</w:t>
      </w:r>
      <w:hyperlink r:id="rId37" w:anchor="F5" w:history="1">
        <w:r w:rsidRPr="00BE0E8C">
          <w:rPr>
            <w:rStyle w:val="Hyperlink"/>
            <w:vertAlign w:val="superscript"/>
          </w:rPr>
          <w:t>5</w:t>
        </w:r>
      </w:hyperlink>
      <w:r w:rsidRPr="00BE0E8C">
        <w:rPr>
          <w:color w:val="000000"/>
        </w:rPr>
        <w:t> This will not preclude him/her from being appointed as a director in another bank subject to meeting the requirements.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Remuneration of NEDs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9. In addition to sitting fees and expenses related to attending meetings of the board and its committees as per extant statutory norms/ practices, the bank may provide for payment of compensation to NEDs in the form of a fixed remuneration commensurate with an individual director’s responsibilities and demands on time and which are considered sufficient to attract qualified competent individuals. However, such fixed remuneration for an NED, other than the Chair of the board, shall not exceed ₹20 lakh per annum</w:t>
      </w:r>
      <w:hyperlink r:id="rId38" w:anchor="F6" w:history="1">
        <w:r w:rsidRPr="00BE0E8C">
          <w:rPr>
            <w:rStyle w:val="Hyperlink"/>
            <w:vertAlign w:val="superscript"/>
          </w:rPr>
          <w:t>6</w:t>
        </w:r>
      </w:hyperlink>
      <w:r w:rsidRPr="00BE0E8C">
        <w:rPr>
          <w:color w:val="000000"/>
        </w:rPr>
        <w:t>.</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Tenure of MD&amp;CEO and WTDs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10. Subject to the statutory approvals required from time to time, the post of the MD&amp;CEO or WTD cannot be held by the same incumbent for more than 15 years. Thereafter, the individual will be eligible for re-appointment as MD&amp;CEO or WTD in the same bank, if considered necessary and desirable by the board, after a minimum gap of three years, subject to meeting other conditions. During this three-year cooling period, the individual shall not be appointed or associated with the bank or its group entities in any capacity, either directly or indirectly.</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11. It is clarified that the extant instructions on upper age limit for MD&amp;CEO and WTDs in the private sector banks would continue and no person can continue as MD&amp;CEO or WTD beyond the age of 70 years. Within the overall limit of 70 years, as part of their internal policy, </w:t>
      </w:r>
      <w:r w:rsidRPr="00BE0E8C">
        <w:rPr>
          <w:color w:val="000000"/>
        </w:rPr>
        <w:lastRenderedPageBreak/>
        <w:t>individual bank's Boards are free to prescribe a lower retirement age for the WTDs, including the MD&amp;CEO.</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12. MD&amp;CEO or WTD who is also a promoter/ major shareholder, cannot hold these posts for more than 12 years. However, in extraordinary circumstances, at the sole discretion of the Reserve Bank such MD&amp;CEO or WTDs may be allowed to continue up to 15 years. While examining the matter of re-appointment of such MD&amp;CEOs or WTDs within the 12/15 </w:t>
      </w:r>
      <w:proofErr w:type="gramStart"/>
      <w:r w:rsidRPr="00BE0E8C">
        <w:rPr>
          <w:color w:val="000000"/>
        </w:rPr>
        <w:t>years</w:t>
      </w:r>
      <w:proofErr w:type="gramEnd"/>
      <w:r w:rsidRPr="00BE0E8C">
        <w:rPr>
          <w:color w:val="000000"/>
        </w:rPr>
        <w:t xml:space="preserve"> period, the level of progress and adherence to the milestones for dilution of promoters’ shareholding in the bank shall also be factored in by the Reserve Bank.</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Transition Arrangement</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13. While the instructions shall come into effect from the date of issue of this circular, in order to enable smooth transition to the revised requirements, banks are permitted to comply with these instructions latest by October 01, 2021. Specifically:</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(i) The Chair of board who is not an independent director on the date of issue of this circular shall be allowed to complete the current term as Chair as already approved by the Reserve Bank.</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(ii) Banks with MD&amp;CEOs or WTDs who have already completed 12/15 years as MD&amp;CEO or WTD, on the date these instructions coming to effect, shall be allowed to complete their current term as already approved by the Reserve Bank.</w:t>
      </w:r>
    </w:p>
    <w:p w:rsidR="00DA198A" w:rsidRPr="00BE0E8C" w:rsidRDefault="00DA198A" w:rsidP="00DA198A">
      <w:pPr>
        <w:pStyle w:val="NormalWeb"/>
        <w:pBdr>
          <w:bottom w:val="single" w:sz="12" w:space="1" w:color="auto"/>
        </w:pBdr>
        <w:shd w:val="clear" w:color="auto" w:fill="FFFFFF"/>
        <w:spacing w:before="0" w:beforeAutospacing="0" w:after="0" w:afterAutospacing="0"/>
        <w:jc w:val="both"/>
        <w:rPr>
          <w:color w:val="000000"/>
        </w:rPr>
      </w:pPr>
    </w:p>
    <w:p w:rsidR="00DA198A" w:rsidRPr="00BE0E8C" w:rsidRDefault="00C66C9C" w:rsidP="00DA198A">
      <w:pPr>
        <w:pStyle w:val="NormalWeb"/>
        <w:pBdr>
          <w:bottom w:val="single" w:sz="12" w:space="1" w:color="auto"/>
        </w:pBdr>
        <w:shd w:val="clear" w:color="auto" w:fill="FFFFFF"/>
        <w:spacing w:before="0" w:beforeAutospacing="0" w:after="0" w:afterAutospacing="0"/>
        <w:jc w:val="both"/>
        <w:rPr>
          <w:color w:val="000000"/>
        </w:rPr>
      </w:pPr>
      <w:hyperlink r:id="rId39" w:history="1">
        <w:r w:rsidR="00DA198A" w:rsidRPr="00BE0E8C">
          <w:rPr>
            <w:rStyle w:val="Hyperlink"/>
          </w:rPr>
          <w:t>https://www.rbi.org.in/Scripts/NotificationUser.aspx?Id=12078&amp;Mode=0</w:t>
        </w:r>
      </w:hyperlink>
    </w:p>
    <w:p w:rsidR="00DA198A" w:rsidRDefault="00DA198A" w:rsidP="00DA198A">
      <w:pPr>
        <w:jc w:val="center"/>
        <w:rPr>
          <w:rFonts w:ascii="Times New Roman" w:hAnsi="Times New Roman" w:cs="Times New Roman"/>
          <w:b/>
          <w:sz w:val="36"/>
        </w:rPr>
      </w:pPr>
    </w:p>
    <w:p w:rsidR="00DA198A" w:rsidRPr="00BE0E8C" w:rsidRDefault="00DA198A" w:rsidP="00DA198A">
      <w:pPr>
        <w:pStyle w:val="NormalWeb"/>
        <w:shd w:val="clear" w:color="auto" w:fill="FFFFFF"/>
        <w:spacing w:before="0" w:beforeAutospacing="0" w:after="0" w:afterAutospacing="0"/>
        <w:jc w:val="both"/>
        <w:rPr>
          <w:b/>
          <w:bCs/>
          <w:color w:val="000000"/>
        </w:rPr>
      </w:pPr>
      <w:r w:rsidRPr="00BE0E8C">
        <w:rPr>
          <w:b/>
          <w:bCs/>
          <w:color w:val="000000"/>
        </w:rPr>
        <w:t>Declaration of dividends by banks</w:t>
      </w:r>
    </w:p>
    <w:p w:rsidR="00DA198A" w:rsidRPr="00BE0E8C" w:rsidRDefault="00DA198A" w:rsidP="00DA198A">
      <w:pPr>
        <w:pStyle w:val="NormalWeb"/>
        <w:shd w:val="clear" w:color="auto" w:fill="FFFFFF"/>
        <w:spacing w:before="0" w:beforeAutospacing="0" w:after="0" w:afterAutospacing="0"/>
        <w:jc w:val="both"/>
        <w:rPr>
          <w:b/>
          <w:bCs/>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RBI/2021-22/23 DOR.ACC.REC.7/21.02.067/2021-22</w:t>
      </w:r>
      <w:r w:rsidRPr="00BE0E8C">
        <w:rPr>
          <w:b/>
          <w:color w:val="000000"/>
        </w:rPr>
        <w:tab/>
      </w:r>
      <w:r w:rsidRPr="00BE0E8C">
        <w:rPr>
          <w:b/>
          <w:color w:val="000000"/>
        </w:rPr>
        <w:tab/>
      </w:r>
      <w:r w:rsidRPr="00BE0E8C">
        <w:rPr>
          <w:b/>
          <w:color w:val="000000"/>
        </w:rPr>
        <w:tab/>
        <w:t>April 22, 2021</w:t>
      </w:r>
    </w:p>
    <w:p w:rsidR="00DA198A" w:rsidRPr="00BE0E8C" w:rsidRDefault="00DA198A" w:rsidP="00DA198A">
      <w:pPr>
        <w:pStyle w:val="NormalWeb"/>
        <w:shd w:val="clear" w:color="auto" w:fill="FFFFFF"/>
        <w:spacing w:before="0" w:beforeAutospacing="0" w:after="0" w:afterAutospacing="0"/>
        <w:jc w:val="both"/>
        <w:rPr>
          <w:i/>
          <w:color w:val="000000"/>
          <w:shd w:val="clear" w:color="auto" w:fill="FFFFFF"/>
        </w:rPr>
      </w:pPr>
    </w:p>
    <w:p w:rsidR="00DA198A" w:rsidRPr="00BE0E8C" w:rsidRDefault="00DA198A" w:rsidP="00DA198A">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and Cooperative Banks,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Please refer to our </w:t>
      </w:r>
      <w:hyperlink r:id="rId40" w:tgtFrame="_blank" w:history="1">
        <w:r w:rsidRPr="00BE0E8C">
          <w:rPr>
            <w:rStyle w:val="Hyperlink"/>
          </w:rPr>
          <w:t>circular DOR.BP.BC.No.29/21.02.067/2020-21 dated December 4, 2020</w:t>
        </w:r>
      </w:hyperlink>
      <w:r w:rsidRPr="00BE0E8C">
        <w:rPr>
          <w:color w:val="000000"/>
        </w:rPr>
        <w:t>, and other associated circulars on the captioned subject.</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In view of the continuing uncertainty caused by the ongoing second wave of COVID-19 in the country, it is crucial that banks remain resilient and proactively raise and conserve capital as a bulwark against unexpected losses. Therefore, while allowing banks to pay dividend on equity shares, it has been decided to review the dividend declaration norms for the year ended March 31, 2021 as below.</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Commercial Banks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3. In partial modification of the instructions contained in </w:t>
      </w:r>
      <w:hyperlink r:id="rId41" w:tgtFrame="_blank" w:history="1">
        <w:r w:rsidRPr="00BE0E8C">
          <w:rPr>
            <w:rStyle w:val="Hyperlink"/>
          </w:rPr>
          <w:t>circular DBOD.NO.BP.BC.88/21.02.067/2004-05 dated May 4, 2005</w:t>
        </w:r>
      </w:hyperlink>
      <w:r w:rsidRPr="00BE0E8C">
        <w:rPr>
          <w:color w:val="000000"/>
        </w:rPr>
        <w:t xml:space="preserve">, banks may pay dividend on equity shares from the profits for the financial year ended March 31, 2021, subject to the quantum of dividend being not more than fifty percent of the amount determined as per the dividend </w:t>
      </w:r>
      <w:proofErr w:type="spellStart"/>
      <w:r w:rsidRPr="00BE0E8C">
        <w:rPr>
          <w:color w:val="000000"/>
        </w:rPr>
        <w:t>payout</w:t>
      </w:r>
      <w:proofErr w:type="spellEnd"/>
      <w:r w:rsidRPr="00BE0E8C">
        <w:rPr>
          <w:color w:val="000000"/>
        </w:rPr>
        <w:t xml:space="preserve"> ratio prescribed in paragraph 4 of the said circular. Other instructions in the </w:t>
      </w:r>
      <w:hyperlink r:id="rId42" w:tgtFrame="_blank" w:history="1">
        <w:r w:rsidRPr="00BE0E8C">
          <w:rPr>
            <w:rStyle w:val="Hyperlink"/>
          </w:rPr>
          <w:t>circular dated May 4, 2005</w:t>
        </w:r>
      </w:hyperlink>
      <w:r w:rsidRPr="00BE0E8C">
        <w:rPr>
          <w:color w:val="000000"/>
        </w:rPr>
        <w:t> shall remain unchanged.</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Cooperative Banks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4. Cooperative banks shall be permitted to pay dividend on equity shares from the profits of the financial year ended March 31, 2021 as per the extant instructions.</w:t>
      </w:r>
    </w:p>
    <w:p w:rsidR="00DA198A" w:rsidRPr="00BE0E8C" w:rsidRDefault="00DA198A" w:rsidP="00DA198A">
      <w:pPr>
        <w:pStyle w:val="head"/>
        <w:shd w:val="clear" w:color="auto" w:fill="FFFFFF"/>
        <w:spacing w:before="0" w:beforeAutospacing="0" w:after="0" w:afterAutospacing="0"/>
        <w:jc w:val="both"/>
        <w:rPr>
          <w:b/>
          <w:bCs/>
          <w:color w:val="000000"/>
        </w:rPr>
      </w:pPr>
    </w:p>
    <w:p w:rsidR="00DA198A" w:rsidRPr="00BE0E8C" w:rsidRDefault="00DA198A" w:rsidP="00DA198A">
      <w:pPr>
        <w:pStyle w:val="head"/>
        <w:shd w:val="clear" w:color="auto" w:fill="FFFFFF"/>
        <w:spacing w:before="0" w:beforeAutospacing="0" w:after="0" w:afterAutospacing="0"/>
        <w:jc w:val="both"/>
        <w:rPr>
          <w:b/>
          <w:bCs/>
          <w:color w:val="000000"/>
        </w:rPr>
      </w:pPr>
      <w:r w:rsidRPr="00BE0E8C">
        <w:rPr>
          <w:b/>
          <w:bCs/>
          <w:color w:val="000000"/>
        </w:rPr>
        <w:t>General</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5. All banks shall continue to meet the applicable minimum regulatory capital requirements after dividend payment. While declaring dividend on equity shares, it shall be the responsibility of the Board of Directors to inter-alia consider the current and projected capital position of the bank vis-à-vis the applicable capital requirements and the adequacy of provisions, taking into account the economic environment and the outlook for profitability.</w:t>
      </w:r>
    </w:p>
    <w:p w:rsidR="00DA198A" w:rsidRDefault="00DA198A" w:rsidP="00DA198A">
      <w:pPr>
        <w:pStyle w:val="NormalWeb"/>
        <w:pBdr>
          <w:bottom w:val="single" w:sz="12" w:space="1" w:color="auto"/>
        </w:pBdr>
        <w:shd w:val="clear" w:color="auto" w:fill="FFFFFF"/>
        <w:spacing w:before="0" w:beforeAutospacing="0" w:after="0" w:afterAutospacing="0"/>
        <w:jc w:val="both"/>
      </w:pPr>
    </w:p>
    <w:p w:rsidR="00DA198A" w:rsidRPr="00BE0E8C" w:rsidRDefault="00C66C9C" w:rsidP="00DA198A">
      <w:pPr>
        <w:pStyle w:val="NormalWeb"/>
        <w:pBdr>
          <w:bottom w:val="single" w:sz="12" w:space="1" w:color="auto"/>
        </w:pBdr>
        <w:shd w:val="clear" w:color="auto" w:fill="FFFFFF"/>
        <w:spacing w:before="0" w:beforeAutospacing="0" w:after="0" w:afterAutospacing="0"/>
        <w:jc w:val="both"/>
        <w:rPr>
          <w:b/>
          <w:color w:val="000000"/>
        </w:rPr>
      </w:pPr>
      <w:hyperlink r:id="rId43" w:history="1">
        <w:r w:rsidR="00DA198A" w:rsidRPr="00BE0E8C">
          <w:rPr>
            <w:rStyle w:val="Hyperlink"/>
            <w:b/>
          </w:rPr>
          <w:t>https://www.rbi.org.in/Scripts/NotificationUser.aspx?Id=12077&amp;Mode=0</w:t>
        </w:r>
      </w:hyperlink>
    </w:p>
    <w:p w:rsidR="00DA198A" w:rsidRPr="00BE0E8C" w:rsidRDefault="00DA198A" w:rsidP="00DA198A">
      <w:pPr>
        <w:pStyle w:val="NormalWeb"/>
        <w:shd w:val="clear" w:color="auto" w:fill="FFFFFF"/>
        <w:spacing w:before="0" w:beforeAutospacing="0" w:after="0" w:afterAutospacing="0"/>
        <w:jc w:val="both"/>
        <w:rPr>
          <w:b/>
          <w:bCs/>
          <w:color w:val="000000"/>
        </w:rPr>
      </w:pPr>
      <w:r w:rsidRPr="00BE0E8C">
        <w:rPr>
          <w:b/>
          <w:bCs/>
          <w:color w:val="000000"/>
        </w:rPr>
        <w:t>Asset Classification and Income Recognition following the expiry of Covid-19 regulatory package</w:t>
      </w:r>
    </w:p>
    <w:p w:rsidR="00DA198A"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RBI/2021-22/17 DOR.STR.REC.4/21.04.048/2021-22</w:t>
      </w:r>
      <w:r w:rsidRPr="00BE0E8C">
        <w:rPr>
          <w:b/>
          <w:color w:val="000000"/>
        </w:rPr>
        <w:tab/>
      </w:r>
      <w:r w:rsidRPr="00BE0E8C">
        <w:rPr>
          <w:b/>
          <w:color w:val="000000"/>
        </w:rPr>
        <w:tab/>
      </w:r>
      <w:r w:rsidRPr="00BE0E8C">
        <w:rPr>
          <w:b/>
          <w:color w:val="000000"/>
        </w:rPr>
        <w:tab/>
        <w:t>April 7, 2021</w:t>
      </w:r>
    </w:p>
    <w:p w:rsidR="00DA198A" w:rsidRDefault="00DA198A" w:rsidP="00DA198A">
      <w:pPr>
        <w:pStyle w:val="NormalWeb"/>
        <w:shd w:val="clear" w:color="auto" w:fill="FFFFFF"/>
        <w:spacing w:before="0" w:beforeAutospacing="0" w:after="0" w:afterAutospacing="0"/>
        <w:jc w:val="both"/>
        <w:rPr>
          <w:i/>
          <w:color w:val="000000"/>
        </w:rPr>
      </w:pPr>
    </w:p>
    <w:p w:rsidR="00DA198A" w:rsidRPr="00BE0E8C" w:rsidRDefault="00DA198A" w:rsidP="00DA198A">
      <w:pPr>
        <w:pStyle w:val="NormalWeb"/>
        <w:shd w:val="clear" w:color="auto" w:fill="FFFFFF"/>
        <w:spacing w:before="0" w:beforeAutospacing="0" w:after="0" w:afterAutospacing="0"/>
        <w:jc w:val="both"/>
        <w:rPr>
          <w:i/>
          <w:color w:val="000000"/>
        </w:rPr>
      </w:pPr>
      <w:r w:rsidRPr="00BE0E8C">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The Hon’ble Supreme Court of India has pronounced its judgement in the matter of Small Scale Industrial Manufacturers Association vs UOI &amp; </w:t>
      </w:r>
      <w:proofErr w:type="spellStart"/>
      <w:r w:rsidRPr="00BE0E8C">
        <w:rPr>
          <w:color w:val="000000"/>
        </w:rPr>
        <w:t>Ors</w:t>
      </w:r>
      <w:proofErr w:type="spellEnd"/>
      <w:r w:rsidRPr="00BE0E8C">
        <w:rPr>
          <w:color w:val="000000"/>
        </w:rPr>
        <w:t>. and other connected matters on March 23, 2021. In this connection, it is advised hereunder:</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I. Refund/adjustment of ‘interest on interest’</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All lending institutions</w:t>
      </w:r>
      <w:r w:rsidRPr="00BE0E8C">
        <w:rPr>
          <w:color w:val="000000"/>
          <w:vertAlign w:val="superscript"/>
        </w:rPr>
        <w:t>1</w:t>
      </w:r>
      <w:r w:rsidRPr="00BE0E8C">
        <w:rPr>
          <w:color w:val="000000"/>
        </w:rPr>
        <w:t xml:space="preserve"> shall immediately put in place a Board-approved policy to refund/adjust the ‘interest on interest’ charged to the borrowers during the moratorium period, i.e. March 1, 2020 to August 31, 2020 in conformity with the above judgement. In order to ensure that the above judgement is implemented uniformly in letter and spirit by all lending institutions, methodology for calculation of the amount to be refunded/adjusted for different facilities shall be finalised by the Indian Banks Association (IBA) in consultation with other industry participants/bodies, which shall be adopted by all lending institutions.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3. The above reliefs shall be applicable to all borrowers, including those who had availed of working capital facilities during the moratorium period, irrespective of whether moratorium had been fully or partially availed, or not availed, in terms of the circulars DOR.No.BP.BC.47/21.04.048/2019-20 dated March 27, 2020 and DOR.No.BP.BC.71/21.04.048/2019-20 dated May 23, 2020 (“Covid-19 Regulatory Package”).</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4. Lending institutions shall disclose the aggregate amount to be refunded/adjusted in respect of their borrowers based on the above reliefs in their financial statements for the year ending March 31, 2021.</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II. Asset Classification</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5. Asset classification of borrower accounts by all lending institutions following the above judgment shall continue to be governed by the extant instructions as clarified below.</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In respect of accounts which were not granted any moratorium in terms of the Covid19 Regulatory Package, asset classification shall be as per the criteria laid out in the Master </w:t>
      </w:r>
      <w:r w:rsidRPr="00BE0E8C">
        <w:rPr>
          <w:color w:val="000000"/>
        </w:rPr>
        <w:lastRenderedPageBreak/>
        <w:t>Circular - Prudential norms on Income Recognition, Asset Classification and Provisioning pertaining to Advances dated July 1, 2015 or other relevant instructions as applicable to the specific category of lending institutions (IRAC Norms).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In respect of accounts which were granted moratorium in terms of the Covid19 Regulatory Package, the asset classification for the period from March 1, 2020 to August 31, 2020 shall be governed in terms of the circular DOR.No.BP.BC.63/21.04.048/2019-20 dated April 17, 2020, read with circular DOR.No.BP.BC.71/21.04.048/2019-20 dated May 23, 2020. For the period commencing September 1, 2020, asset classification for all such accounts shall be as per the applicable IRAC Norms.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vertAlign w:val="superscript"/>
        </w:rPr>
        <w:t>1</w:t>
      </w:r>
      <w:r w:rsidRPr="00BE0E8C">
        <w:rPr>
          <w:i/>
          <w:color w:val="000000"/>
          <w:shd w:val="clear" w:color="auto" w:fill="FFFFFF"/>
        </w:rPr>
        <w:t> Commercial Banks (including Small Finance Banks, Local Area Banks and Regional Rural Banks), Primary (Urban) Co-operative Banks/State Co-operative Banks/ District Central Co-operative Banks, All-India Financial Institutions, and Non-Banking Financial Companies (including Housing Finance Companies)</w:t>
      </w:r>
    </w:p>
    <w:p w:rsidR="00DA198A" w:rsidRPr="00BE0E8C" w:rsidRDefault="00DA198A" w:rsidP="00DA198A">
      <w:pPr>
        <w:pStyle w:val="NormalWeb"/>
        <w:pBdr>
          <w:bottom w:val="single" w:sz="12" w:space="1" w:color="auto"/>
        </w:pBdr>
        <w:shd w:val="clear" w:color="auto" w:fill="FFFFFF"/>
        <w:spacing w:before="0" w:beforeAutospacing="0" w:after="0" w:afterAutospacing="0"/>
        <w:jc w:val="both"/>
        <w:rPr>
          <w:color w:val="000000"/>
        </w:rPr>
      </w:pPr>
    </w:p>
    <w:p w:rsidR="00DA198A" w:rsidRPr="00BE0E8C" w:rsidRDefault="00C66C9C" w:rsidP="00DA198A">
      <w:pPr>
        <w:pStyle w:val="NormalWeb"/>
        <w:pBdr>
          <w:bottom w:val="single" w:sz="12" w:space="1" w:color="auto"/>
        </w:pBdr>
        <w:shd w:val="clear" w:color="auto" w:fill="FFFFFF"/>
        <w:spacing w:before="0" w:beforeAutospacing="0" w:after="0" w:afterAutospacing="0"/>
        <w:jc w:val="both"/>
        <w:rPr>
          <w:color w:val="000000"/>
        </w:rPr>
      </w:pPr>
      <w:hyperlink r:id="rId44" w:history="1">
        <w:r w:rsidR="00DA198A" w:rsidRPr="00BE0E8C">
          <w:rPr>
            <w:rStyle w:val="Hyperlink"/>
          </w:rPr>
          <w:t>https://www.rbi.org.in/Scripts/NotificationUser.aspx?Id=12071&amp;Mode=0</w:t>
        </w:r>
      </w:hyperlink>
    </w:p>
    <w:p w:rsidR="00DA198A" w:rsidRPr="00BE0E8C" w:rsidRDefault="00DA198A" w:rsidP="00DA198A">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Annual Closing of Government Accounts – Transactions of Central / State Governments – Special Measures for the Current Financial Year (2020-21)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RBI/2020-21/112 </w:t>
      </w:r>
      <w:proofErr w:type="gramStart"/>
      <w:r w:rsidRPr="00BE0E8C">
        <w:rPr>
          <w:rFonts w:ascii="Times New Roman" w:eastAsia="Times New Roman" w:hAnsi="Times New Roman" w:cs="Times New Roman"/>
          <w:b/>
          <w:color w:val="000000"/>
          <w:sz w:val="24"/>
          <w:szCs w:val="24"/>
          <w:lang w:eastAsia="en-IN"/>
        </w:rPr>
        <w:t>DGBA.GBD.No.S</w:t>
      </w:r>
      <w:proofErr w:type="gramEnd"/>
      <w:r w:rsidRPr="00BE0E8C">
        <w:rPr>
          <w:rFonts w:ascii="Times New Roman" w:eastAsia="Times New Roman" w:hAnsi="Times New Roman" w:cs="Times New Roman"/>
          <w:b/>
          <w:color w:val="000000"/>
          <w:sz w:val="24"/>
          <w:szCs w:val="24"/>
          <w:lang w:eastAsia="en-IN"/>
        </w:rPr>
        <w:t>212/42.01.029/2020-21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DA198A" w:rsidRPr="00BE0E8C" w:rsidRDefault="00DA198A" w:rsidP="00DA198A">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DA198A" w:rsidRPr="00BE0E8C" w:rsidRDefault="00DA198A" w:rsidP="00DA198A">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Agency Banks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government transactions done by agency banks for Financial Year 2020-21 must be accounted for within the same financial year. Accordingly, the following arrangements are put in place to report and account for Government transactions for March 31, 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2. All agency banks should keep their designated branches open for over the counter transactions related to government transactions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the normal working hours on March 31, 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3. Transactions through National Electronic Funds Transfer (NEFT) and Real Time Gross Settlement (RTGS) System will continue </w:t>
      </w:r>
      <w:proofErr w:type="spellStart"/>
      <w:r w:rsidRPr="00BE0E8C">
        <w:rPr>
          <w:rFonts w:ascii="Times New Roman" w:eastAsia="Times New Roman" w:hAnsi="Times New Roman" w:cs="Times New Roman"/>
          <w:color w:val="000000"/>
          <w:sz w:val="24"/>
          <w:szCs w:val="24"/>
          <w:lang w:eastAsia="en-IN"/>
        </w:rPr>
        <w:t>upto</w:t>
      </w:r>
      <w:proofErr w:type="spellEnd"/>
      <w:r w:rsidRPr="00BE0E8C">
        <w:rPr>
          <w:rFonts w:ascii="Times New Roman" w:eastAsia="Times New Roman" w:hAnsi="Times New Roman" w:cs="Times New Roman"/>
          <w:color w:val="000000"/>
          <w:sz w:val="24"/>
          <w:szCs w:val="24"/>
          <w:lang w:eastAsia="en-IN"/>
        </w:rPr>
        <w:t xml:space="preserve"> 2400 hours as hitherto on March 31, 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Special clearing will be conducted for collection of government cheques on March 31, 2021 for which the Department of Payment and Settlement Systems (DPSS), RBI will issue necessary instructions.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Regarding reporting of Central and State Government transactions to RBI, including uploading of GST / e-receipts luggage files, the reporting window of March 31, 2021 will be extended and kept open till 1200 hours on April 1, 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Agency banks may take note and give adequate publicity to the special arrangements made as above.</w:t>
      </w:r>
    </w:p>
    <w:p w:rsidR="00DA198A" w:rsidRPr="00BE0E8C" w:rsidRDefault="00DA198A"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hAnsi="Times New Roman" w:cs="Times New Roman"/>
          <w:b/>
          <w:bCs/>
          <w:color w:val="000000"/>
          <w:sz w:val="24"/>
          <w:szCs w:val="24"/>
        </w:rPr>
      </w:pPr>
    </w:p>
    <w:p w:rsidR="00DA198A" w:rsidRPr="00BE0E8C" w:rsidRDefault="00DA198A" w:rsidP="00DA198A">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Large Exposures Framework – Deferment of applicability of limits on non-centrally cleared derivatives exposures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lastRenderedPageBreak/>
        <w:t>RBI/2020-21/109 DOR.No.CRE.BC.47/21.01.003/2020-21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23, 2021</w:t>
      </w:r>
    </w:p>
    <w:p w:rsidR="00DA198A" w:rsidRPr="00BE0E8C" w:rsidRDefault="00DA198A" w:rsidP="00DA198A">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DA198A" w:rsidRPr="00BE0E8C" w:rsidRDefault="00DA198A" w:rsidP="00DA198A">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Small Finance Banks, Payments Banks, Local Area Banks and Regional Rural Banks)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Please refer to </w:t>
      </w:r>
      <w:hyperlink r:id="rId45" w:tgtFrame="_blank" w:history="1">
        <w:r w:rsidRPr="00BE0E8C">
          <w:rPr>
            <w:rStyle w:val="Hyperlink"/>
          </w:rPr>
          <w:t>circular No.DOR.No.BP.BC.43/21.01.003/2019-20 dated March 23, 2020</w:t>
        </w:r>
      </w:hyperlink>
      <w:r w:rsidRPr="00BE0E8C">
        <w:rPr>
          <w:color w:val="000000"/>
        </w:rPr>
        <w:t> on Large Exposures Framework (LEF).</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On a review it has been decided that non-centrally cleared derivatives exposures will continue to be outside the purview of exposure limits till September 30, 2021.</w:t>
      </w: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Reporting and Accounting of Central Government transactions of March 2021 – Change of date of closure</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 xml:space="preserve">RBI/2021-22/18 </w:t>
      </w:r>
      <w:proofErr w:type="gramStart"/>
      <w:r w:rsidRPr="00BE0E8C">
        <w:rPr>
          <w:b/>
          <w:color w:val="000000"/>
        </w:rPr>
        <w:t>DGBA.GBD.No.S</w:t>
      </w:r>
      <w:proofErr w:type="gramEnd"/>
      <w:r w:rsidRPr="00BE0E8C">
        <w:rPr>
          <w:b/>
          <w:color w:val="000000"/>
        </w:rPr>
        <w:t xml:space="preserve">26/42.01.029/2021-22 </w:t>
      </w:r>
      <w:r w:rsidRPr="00BE0E8C">
        <w:rPr>
          <w:b/>
          <w:color w:val="000000"/>
        </w:rPr>
        <w:tab/>
      </w:r>
      <w:r w:rsidRPr="00BE0E8C">
        <w:rPr>
          <w:b/>
          <w:color w:val="000000"/>
        </w:rPr>
        <w:tab/>
      </w:r>
      <w:r w:rsidRPr="00BE0E8C">
        <w:rPr>
          <w:b/>
          <w:color w:val="000000"/>
        </w:rPr>
        <w:tab/>
        <w:t>April 07, 2021</w:t>
      </w:r>
    </w:p>
    <w:p w:rsidR="00DA198A" w:rsidRPr="00BE0E8C" w:rsidRDefault="00DA198A" w:rsidP="00DA198A">
      <w:pPr>
        <w:pStyle w:val="NormalWeb"/>
        <w:shd w:val="clear" w:color="auto" w:fill="FFFFFF"/>
        <w:spacing w:before="0" w:beforeAutospacing="0" w:after="0" w:afterAutospacing="0"/>
        <w:jc w:val="both"/>
        <w:rPr>
          <w:i/>
          <w:color w:val="000000"/>
        </w:rPr>
      </w:pPr>
    </w:p>
    <w:p w:rsidR="00DA198A" w:rsidRPr="00BE0E8C" w:rsidRDefault="00DA198A" w:rsidP="00DA198A">
      <w:pPr>
        <w:pStyle w:val="NormalWeb"/>
        <w:shd w:val="clear" w:color="auto" w:fill="FFFFFF"/>
        <w:spacing w:before="0" w:beforeAutospacing="0" w:after="0" w:afterAutospacing="0"/>
        <w:jc w:val="both"/>
        <w:rPr>
          <w:i/>
          <w:color w:val="000000"/>
        </w:rPr>
      </w:pPr>
      <w:r w:rsidRPr="00BE0E8C">
        <w:rPr>
          <w:i/>
          <w:color w:val="000000"/>
        </w:rPr>
        <w:t>All Agency Banks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Please refer Circular </w:t>
      </w:r>
      <w:proofErr w:type="gramStart"/>
      <w:r w:rsidRPr="00BE0E8C">
        <w:rPr>
          <w:color w:val="000000"/>
        </w:rPr>
        <w:t>DGBA.GBD.No.S</w:t>
      </w:r>
      <w:proofErr w:type="gramEnd"/>
      <w:r w:rsidRPr="00BE0E8C">
        <w:rPr>
          <w:color w:val="000000"/>
        </w:rPr>
        <w:t>-140/42.01.029/2020-21 dated March 18, 2021 where in the date of closure for reporting residual transactions of March 2021 was fixed as April 10, 2021.</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On account of holidays on April 10 and 11, 2021 (second Saturday and Sunday respectively), Government of India has now decided that the date of closure of residual transactions for the month of March 2021 be fixed as April 12, 2021. All agency banks may take note of the change of date of closure and ensure that arrangements are put in place to report all the March 2021 residual transactions by 1400 hours of April 12, 2021.</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 xml:space="preserve">3. All other instructions contained in Circular </w:t>
      </w:r>
      <w:proofErr w:type="gramStart"/>
      <w:r w:rsidRPr="00BE0E8C">
        <w:rPr>
          <w:color w:val="000000"/>
        </w:rPr>
        <w:t>DGBA.GBD.No.S</w:t>
      </w:r>
      <w:proofErr w:type="gramEnd"/>
      <w:r w:rsidRPr="00BE0E8C">
        <w:rPr>
          <w:color w:val="000000"/>
        </w:rPr>
        <w:t>-140/42.01.029/2020-21 dated March 18, 2021 are operational and may be adhered to, taking into account closure date as April 12, 2021. To sum up, the nodal/Focal Point branches will be required to prepare separate set of scrolls, one pertaining to March 2021 residual transactions and another for April transactions during the first 12 days of April 2021. The Nodal/Focal Point branches should also ensure that the accounts for all transactions (revenues/tax collections/payments) up to March 31, 2021 are effected at the receiving branches in the accounts for financial year 2020-21 itself and are not mixed up with the transactions of April 2021. Also, while reporting transactions pertaining to March 2021 up to April 12, 2021, the transactions of April 2021 should not be mixed up with the residual transactions relating to March 2021.</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C66C9C" w:rsidP="00DA198A">
      <w:pPr>
        <w:pStyle w:val="NormalWeb"/>
        <w:pBdr>
          <w:bottom w:val="single" w:sz="12" w:space="1" w:color="auto"/>
        </w:pBdr>
        <w:shd w:val="clear" w:color="auto" w:fill="FFFFFF"/>
        <w:spacing w:before="0" w:beforeAutospacing="0" w:after="0" w:afterAutospacing="0"/>
        <w:jc w:val="both"/>
        <w:rPr>
          <w:color w:val="000000"/>
        </w:rPr>
      </w:pPr>
      <w:hyperlink r:id="rId46" w:history="1">
        <w:r w:rsidR="00DA198A" w:rsidRPr="00BE0E8C">
          <w:rPr>
            <w:rStyle w:val="Hyperlink"/>
          </w:rPr>
          <w:t>https://www.rbi.org.in/Scripts/NotificationUser.aspx?Id=12072&amp;Mode=0</w:t>
        </w:r>
      </w:hyperlink>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b/>
          <w:bCs/>
          <w:color w:val="000000"/>
        </w:rPr>
      </w:pPr>
      <w:r w:rsidRPr="00BE0E8C">
        <w:rPr>
          <w:b/>
          <w:bCs/>
          <w:color w:val="000000"/>
        </w:rPr>
        <w:t>Data Format for Furnishing of Credit Information to Credit Information Companies and other Regulatory Measures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RBI/2020-21/106 DoR.FIN.REC.46/20.16.056/2020-21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12, 2021</w:t>
      </w:r>
    </w:p>
    <w:p w:rsidR="00DA198A" w:rsidRPr="00BE0E8C" w:rsidRDefault="00DA198A" w:rsidP="00DA198A">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DA198A" w:rsidRPr="00BE0E8C" w:rsidRDefault="00DA198A" w:rsidP="00DA198A">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excluding Payment Banks, All Primary (Urban) Co-operative Banks/State Co-operative Banks/ District Central Co-operative Banks, All-India Financial Institutions (Exim Bank, NABARD, NHB and SIDBI), All Non-Banking Financial Companies (including Housing Finance Companies) All Credit Information Companies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Please refer to our </w:t>
      </w:r>
      <w:hyperlink r:id="rId47" w:tgtFrame="_blank" w:history="1">
        <w:r w:rsidRPr="00BE0E8C">
          <w:rPr>
            <w:rStyle w:val="Hyperlink"/>
          </w:rPr>
          <w:t>circular DBOD.No.CID.BC.127/20.16.056/2013-14 dated June 27, 2014</w:t>
        </w:r>
      </w:hyperlink>
      <w:r w:rsidRPr="00BE0E8C">
        <w:rPr>
          <w:color w:val="000000"/>
        </w:rPr>
        <w:t> inter alia setting out a Uniform Credit Reporting Format for the purpose of reporting credit information to the Credit Information Companies (CICs).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The Uniform Credit Reporting Format has two Annexes. The Annex-I contains two formats for credit reporting, viz., Consumer Bureau and Commercial Bureau, whereas Annex-II contains credit reporting format for Micro Finance Institution (MFI) segment.</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3. It has now been decided to modify the aforesaid three formats as under:</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(i) </w:t>
      </w:r>
      <w:r w:rsidRPr="00BE0E8C">
        <w:rPr>
          <w:b/>
          <w:bCs/>
          <w:color w:val="000000"/>
        </w:rPr>
        <w:t>Consumer Bureau:</w:t>
      </w:r>
      <w:r w:rsidRPr="00BE0E8C">
        <w:rPr>
          <w:color w:val="000000"/>
        </w:rPr>
        <w:t> The label of the field ‘Written off and Settled status’ is modified as ‘Credit Facility Status’ and it will also have a new catalogue value, viz., ‘Restructured due to COVID-19’.</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(ii) </w:t>
      </w:r>
      <w:r w:rsidRPr="00BE0E8C">
        <w:rPr>
          <w:b/>
          <w:bCs/>
          <w:color w:val="000000"/>
        </w:rPr>
        <w:t>Commercial Bureau:</w:t>
      </w:r>
      <w:r w:rsidRPr="00BE0E8C">
        <w:rPr>
          <w:color w:val="000000"/>
        </w:rPr>
        <w:t> The existing field ‘Major reasons for restructuring’ will have a new catalogue value, viz., ‘Restructured due to COVID-19’.</w:t>
      </w: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(iii) </w:t>
      </w:r>
      <w:r w:rsidRPr="00BE0E8C">
        <w:rPr>
          <w:b/>
          <w:bCs/>
          <w:color w:val="000000"/>
        </w:rPr>
        <w:t>MFI Bureau:</w:t>
      </w:r>
      <w:r w:rsidRPr="00BE0E8C">
        <w:rPr>
          <w:color w:val="000000"/>
        </w:rPr>
        <w:t> The existing field ‘Account status’ will have a new catalogue value, viz., ‘Restructured due to COVID-19’.</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4. The modifications are being made to enable banks/AIFIs/NBFCs to report the information relating to restructured loans to CICs as envisaged in </w:t>
      </w:r>
      <w:hyperlink r:id="rId48" w:tgtFrame="_blank" w:history="1">
        <w:r w:rsidRPr="00BE0E8C">
          <w:rPr>
            <w:rStyle w:val="Hyperlink"/>
          </w:rPr>
          <w:t>circular DOR.No.BP.BC.3/21.04.048/2020-21 dated August 6, 2020</w:t>
        </w:r>
      </w:hyperlink>
      <w:r w:rsidRPr="00BE0E8C">
        <w:rPr>
          <w:color w:val="000000"/>
        </w:rPr>
        <w:t>, on the Resolution Framework for COVID-19 related stress.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Default="00DA198A" w:rsidP="00DA198A">
      <w:pPr>
        <w:pStyle w:val="NormalWeb"/>
        <w:shd w:val="clear" w:color="auto" w:fill="FFFFFF"/>
        <w:spacing w:before="0" w:beforeAutospacing="0" w:after="0" w:afterAutospacing="0"/>
        <w:jc w:val="both"/>
        <w:rPr>
          <w:color w:val="000000"/>
        </w:rPr>
      </w:pPr>
      <w:r w:rsidRPr="00BE0E8C">
        <w:rPr>
          <w:color w:val="000000"/>
        </w:rPr>
        <w:t>5. Banks/AIFIs/NBFCs should make necessary modification to their systems and commence reporting the above information to CICs within two months from the date of this circular. CICs shall make necessary modifications to their system to reflect the above changes.</w:t>
      </w:r>
    </w:p>
    <w:p w:rsidR="00DA198A"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Large Exposures Framework – Exemptions</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RBI/2020-21/104 DOR.No.CRE.BC.45/21.01.003/2020-21                   February 24, 2021</w:t>
      </w:r>
    </w:p>
    <w:p w:rsidR="00DA198A" w:rsidRPr="00BE0E8C" w:rsidRDefault="00DA198A" w:rsidP="00DA198A">
      <w:pPr>
        <w:pStyle w:val="NormalWeb"/>
        <w:shd w:val="clear" w:color="auto" w:fill="FFFFFF"/>
        <w:spacing w:before="0" w:beforeAutospacing="0" w:after="0" w:afterAutospacing="0"/>
        <w:jc w:val="both"/>
        <w:rPr>
          <w:color w:val="000000"/>
          <w:shd w:val="clear" w:color="auto" w:fill="FFFFFF"/>
        </w:rPr>
      </w:pPr>
    </w:p>
    <w:p w:rsidR="00DA198A" w:rsidRPr="00BE0E8C" w:rsidRDefault="00DA198A" w:rsidP="00DA198A">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Small Finance Banks, Payments Banks, Local Area Banks and Regional Rural Banks)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w:t>
      </w:r>
      <w:hyperlink r:id="rId49" w:tgtFrame="_blank" w:history="1">
        <w:r w:rsidRPr="00BE0E8C">
          <w:rPr>
            <w:rFonts w:ascii="Times New Roman" w:eastAsia="Times New Roman" w:hAnsi="Times New Roman" w:cs="Times New Roman"/>
            <w:color w:val="0000FF"/>
            <w:sz w:val="24"/>
            <w:szCs w:val="24"/>
            <w:u w:val="single"/>
            <w:lang w:eastAsia="en-IN"/>
          </w:rPr>
          <w:t>circular No.DBR.No.BP.BC.43/21.01.003/2018-19 dated June 03, 2019</w:t>
        </w:r>
      </w:hyperlink>
      <w:r w:rsidRPr="00BE0E8C">
        <w:rPr>
          <w:rFonts w:ascii="Times New Roman" w:eastAsia="Times New Roman" w:hAnsi="Times New Roman" w:cs="Times New Roman"/>
          <w:color w:val="000000"/>
          <w:sz w:val="24"/>
          <w:szCs w:val="24"/>
          <w:lang w:eastAsia="en-IN"/>
        </w:rPr>
        <w:t> on Large Exposures Framework (LEF)</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Paragraph 3 of the Annex to the above circular specifies the exposures that are exempt from the LEF. On a review, it has been decided to further exempt the following exposures from the LEF:</w:t>
      </w:r>
    </w:p>
    <w:p w:rsidR="00DA198A" w:rsidRPr="00BE0E8C" w:rsidRDefault="00DA198A" w:rsidP="00DA198A">
      <w:pPr>
        <w:shd w:val="clear" w:color="auto" w:fill="FFFFFF"/>
        <w:spacing w:after="0" w:line="240" w:lineRule="auto"/>
        <w:ind w:left="36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Exposures to foreign sovereigns or their central banks that are:</w:t>
      </w:r>
    </w:p>
    <w:p w:rsidR="00DA198A" w:rsidRPr="00BE0E8C" w:rsidRDefault="00DA198A" w:rsidP="00DA198A">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subject to a 0% risk weight under Table 2 of paragraph 5.3.1 of the </w:t>
      </w:r>
      <w:hyperlink r:id="rId50" w:tgtFrame="_blank" w:history="1">
        <w:r w:rsidRPr="00BE0E8C">
          <w:rPr>
            <w:rFonts w:ascii="Times New Roman" w:eastAsia="Times New Roman" w:hAnsi="Times New Roman" w:cs="Times New Roman"/>
            <w:color w:val="0000FF"/>
            <w:sz w:val="24"/>
            <w:szCs w:val="24"/>
            <w:u w:val="single"/>
            <w:lang w:eastAsia="en-IN"/>
          </w:rPr>
          <w:t>Master Circular – Basel III Capital Regulations dated July 1, 2015</w:t>
        </w:r>
      </w:hyperlink>
      <w:r w:rsidRPr="00BE0E8C">
        <w:rPr>
          <w:rFonts w:ascii="Times New Roman" w:eastAsia="Times New Roman" w:hAnsi="Times New Roman" w:cs="Times New Roman"/>
          <w:color w:val="000000"/>
          <w:sz w:val="24"/>
          <w:szCs w:val="24"/>
          <w:lang w:eastAsia="en-IN"/>
        </w:rPr>
        <w:t>, as modified vide circular dated October 8, 2015; and,</w:t>
      </w:r>
    </w:p>
    <w:p w:rsidR="00DA198A" w:rsidRPr="00BE0E8C" w:rsidRDefault="00DA198A" w:rsidP="00DA198A">
      <w:pPr>
        <w:numPr>
          <w:ilvl w:val="0"/>
          <w:numId w:val="2"/>
        </w:num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denominated in the domestic currency of that sovereign and met out of resources of the same currency.</w:t>
      </w:r>
    </w:p>
    <w:p w:rsidR="00DA198A" w:rsidRDefault="00DA198A" w:rsidP="00DA198A">
      <w:pPr>
        <w:jc w:val="center"/>
        <w:rPr>
          <w:rFonts w:ascii="Times New Roman" w:hAnsi="Times New Roman" w:cs="Times New Roman"/>
          <w:b/>
          <w:sz w:val="36"/>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lastRenderedPageBreak/>
        <w:t>Basel III Framework on Liquidity Standards – Net Stable Funding Ratio (NSFR)</w:t>
      </w: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RBI/2020-21/95 DOR.No.LRG.BC.40/21.04.098/2020-21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05, 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 xml:space="preserve">All Commercial Banks (excluding Regional Rural </w:t>
      </w:r>
      <w:proofErr w:type="spellStart"/>
      <w:proofErr w:type="gramStart"/>
      <w:r w:rsidRPr="00BE0E8C">
        <w:rPr>
          <w:rFonts w:ascii="Times New Roman" w:eastAsia="Times New Roman" w:hAnsi="Times New Roman" w:cs="Times New Roman"/>
          <w:i/>
          <w:color w:val="000000"/>
          <w:sz w:val="24"/>
          <w:szCs w:val="24"/>
          <w:lang w:eastAsia="en-IN"/>
        </w:rPr>
        <w:t>Banks,Local</w:t>
      </w:r>
      <w:proofErr w:type="spellEnd"/>
      <w:proofErr w:type="gramEnd"/>
      <w:r w:rsidRPr="00BE0E8C">
        <w:rPr>
          <w:rFonts w:ascii="Times New Roman" w:eastAsia="Times New Roman" w:hAnsi="Times New Roman" w:cs="Times New Roman"/>
          <w:i/>
          <w:color w:val="000000"/>
          <w:sz w:val="24"/>
          <w:szCs w:val="24"/>
          <w:lang w:eastAsia="en-IN"/>
        </w:rPr>
        <w:t xml:space="preserve"> Area Banks and Payments Banks)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Please refer to our </w:t>
      </w:r>
      <w:hyperlink r:id="rId51" w:tgtFrame="_blank" w:history="1">
        <w:r w:rsidRPr="00BE0E8C">
          <w:rPr>
            <w:rStyle w:val="Hyperlink"/>
          </w:rPr>
          <w:t>circular DBR.BP.BC.No.106/21.04.098/2017-18 dated May 17, 2018</w:t>
        </w:r>
      </w:hyperlink>
      <w:r w:rsidRPr="00BE0E8C">
        <w:rPr>
          <w:color w:val="000000"/>
        </w:rPr>
        <w:t> on Basel III Framework on Liquidity Standards - Net Stable Funding Ratio (NSFR)-Final Guidelines (‘NSFR Guidelines’) and </w:t>
      </w:r>
      <w:hyperlink r:id="rId52" w:tgtFrame="_blank" w:history="1">
        <w:r w:rsidRPr="00BE0E8C">
          <w:rPr>
            <w:rStyle w:val="Hyperlink"/>
          </w:rPr>
          <w:t>circular DOR.BP.BC.No.16/21.04.098/2020-21 dated September 29, 2020</w:t>
        </w:r>
      </w:hyperlink>
      <w:r w:rsidRPr="00BE0E8C">
        <w:rPr>
          <w:color w:val="000000"/>
        </w:rPr>
        <w:t> deferring the implementation of the said guidelines till April 1, 2021.</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In view of the ongoing stress on account of COVID-19, it has been decided to defer the implementation of NSFR guidelines by a further period of six months. Accordingly, the NSFR Guidelines shall come into effect from October 1, 2021.</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Section 24 of the Banking Regulation Act, 1949 – Maintenance of Statutory Liquidity Ratio (SLR) – Marginal Standing Facility (MSF) - Extension of Relaxation</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 xml:space="preserve">RBI/2020-21/91 </w:t>
      </w:r>
      <w:proofErr w:type="gramStart"/>
      <w:r w:rsidRPr="00BE0E8C">
        <w:rPr>
          <w:b/>
          <w:color w:val="000000"/>
        </w:rPr>
        <w:t>DOR.No.Ret.BC</w:t>
      </w:r>
      <w:proofErr w:type="gramEnd"/>
      <w:r w:rsidRPr="00BE0E8C">
        <w:rPr>
          <w:b/>
          <w:color w:val="000000"/>
        </w:rPr>
        <w:t>.36/12.01.001/2020-21</w:t>
      </w:r>
      <w:r w:rsidRPr="00BE0E8C">
        <w:rPr>
          <w:b/>
          <w:color w:val="000000"/>
        </w:rPr>
        <w:tab/>
      </w:r>
      <w:r w:rsidRPr="00BE0E8C">
        <w:rPr>
          <w:b/>
          <w:color w:val="000000"/>
        </w:rPr>
        <w:tab/>
        <w:t>February 05, 2021</w:t>
      </w:r>
    </w:p>
    <w:p w:rsidR="00DA198A" w:rsidRPr="00BE0E8C" w:rsidRDefault="00DA198A" w:rsidP="00DA198A">
      <w:pPr>
        <w:pStyle w:val="NormalWeb"/>
        <w:shd w:val="clear" w:color="auto" w:fill="FFFFFF"/>
        <w:spacing w:before="0" w:beforeAutospacing="0" w:after="0" w:afterAutospacing="0"/>
        <w:jc w:val="both"/>
        <w:rPr>
          <w:i/>
          <w:color w:val="000000"/>
        </w:rPr>
      </w:pPr>
    </w:p>
    <w:p w:rsidR="00DA198A" w:rsidRPr="00BE0E8C" w:rsidRDefault="00DA198A" w:rsidP="00DA198A">
      <w:pPr>
        <w:pStyle w:val="NormalWeb"/>
        <w:shd w:val="clear" w:color="auto" w:fill="FFFFFF"/>
        <w:spacing w:before="0" w:beforeAutospacing="0" w:after="0" w:afterAutospacing="0"/>
        <w:jc w:val="both"/>
        <w:rPr>
          <w:i/>
          <w:color w:val="000000"/>
        </w:rPr>
      </w:pPr>
      <w:r w:rsidRPr="00BE0E8C">
        <w:rPr>
          <w:i/>
          <w:color w:val="000000"/>
        </w:rPr>
        <w:t>All Scheduled Banks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Please refer to our </w:t>
      </w:r>
      <w:hyperlink r:id="rId53" w:tgtFrame="_blank" w:history="1">
        <w:r w:rsidRPr="00BE0E8C">
          <w:rPr>
            <w:rStyle w:val="Hyperlink"/>
          </w:rPr>
          <w:t>circulars DOR.No.Ret.BC.52/12.01.001/2019-20 dated March 27, 2020</w:t>
        </w:r>
      </w:hyperlink>
      <w:r w:rsidRPr="00BE0E8C">
        <w:rPr>
          <w:color w:val="000000"/>
        </w:rPr>
        <w:t>, </w:t>
      </w:r>
      <w:hyperlink r:id="rId54" w:tgtFrame="_blank" w:history="1">
        <w:r w:rsidRPr="00BE0E8C">
          <w:rPr>
            <w:rStyle w:val="Hyperlink"/>
          </w:rPr>
          <w:t>DOR.RRB.No.28/31.01.001/2020-21 dated December 4, 2020</w:t>
        </w:r>
      </w:hyperlink>
      <w:r w:rsidRPr="00BE0E8C">
        <w:rPr>
          <w:color w:val="000000"/>
        </w:rPr>
        <w:t> and </w:t>
      </w:r>
      <w:hyperlink r:id="rId55" w:tgtFrame="_blank" w:history="1">
        <w:r w:rsidRPr="00BE0E8C">
          <w:rPr>
            <w:rStyle w:val="Hyperlink"/>
          </w:rPr>
          <w:t>Press Release No.2020-2021/401 dated September 28, 2020</w:t>
        </w:r>
      </w:hyperlink>
      <w:r w:rsidRPr="00BE0E8C">
        <w:rPr>
          <w:color w:val="000000"/>
        </w:rP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March 31, 2021 providing comfort to banks on their liquidity requirements and also to enable them to meet their Liquidity Coverage Ratio (LCR) requirements.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As announced in the </w:t>
      </w:r>
      <w:hyperlink r:id="rId56" w:tgtFrame="_blank" w:history="1">
        <w:r w:rsidRPr="00BE0E8C">
          <w:rPr>
            <w:rStyle w:val="Hyperlink"/>
          </w:rPr>
          <w:t>Statement of Developmental and Regulatory Policies of February 05, 2021</w:t>
        </w:r>
      </w:hyperlink>
      <w:r w:rsidRPr="00BE0E8C">
        <w:rPr>
          <w:color w:val="000000"/>
        </w:rPr>
        <w:t>, with a view to providing comfort to banks on their liquidity requirements, banks are allowed to continue with the MSF relaxation for a further period of six months, i.e., up to September 30, 2021.</w:t>
      </w:r>
    </w:p>
    <w:p w:rsidR="00DA198A" w:rsidRDefault="00DA198A" w:rsidP="00DA198A">
      <w:pPr>
        <w:jc w:val="center"/>
        <w:rPr>
          <w:rFonts w:ascii="Times New Roman" w:hAnsi="Times New Roman" w:cs="Times New Roman"/>
          <w:b/>
          <w:sz w:val="36"/>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Maintenance of Cash Reserve Ratio (CRR)</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b/>
          <w:color w:val="000000"/>
        </w:rPr>
      </w:pPr>
      <w:r w:rsidRPr="00BE0E8C">
        <w:rPr>
          <w:b/>
          <w:color w:val="000000"/>
        </w:rPr>
        <w:t xml:space="preserve">RBI/2020-21/90 </w:t>
      </w:r>
      <w:proofErr w:type="gramStart"/>
      <w:r w:rsidRPr="00BE0E8C">
        <w:rPr>
          <w:b/>
          <w:color w:val="000000"/>
        </w:rPr>
        <w:t>DOR.No.Ret.BC</w:t>
      </w:r>
      <w:proofErr w:type="gramEnd"/>
      <w:r w:rsidRPr="00BE0E8C">
        <w:rPr>
          <w:b/>
          <w:color w:val="000000"/>
        </w:rPr>
        <w:t>.35/12.01.001/2020-21</w:t>
      </w:r>
      <w:r w:rsidRPr="00BE0E8C">
        <w:rPr>
          <w:b/>
          <w:color w:val="000000"/>
        </w:rPr>
        <w:tab/>
      </w:r>
      <w:r w:rsidRPr="00BE0E8C">
        <w:rPr>
          <w:b/>
          <w:color w:val="000000"/>
        </w:rPr>
        <w:tab/>
      </w:r>
      <w:r w:rsidRPr="00BE0E8C">
        <w:rPr>
          <w:b/>
          <w:color w:val="000000"/>
        </w:rPr>
        <w:tab/>
        <w:t>February 5, 2021</w:t>
      </w:r>
    </w:p>
    <w:p w:rsidR="00DA198A" w:rsidRPr="00BE0E8C" w:rsidRDefault="00DA198A" w:rsidP="00DA198A">
      <w:pPr>
        <w:pStyle w:val="NormalWeb"/>
        <w:shd w:val="clear" w:color="auto" w:fill="FFFFFF"/>
        <w:spacing w:before="0" w:beforeAutospacing="0" w:after="0" w:afterAutospacing="0"/>
        <w:jc w:val="both"/>
        <w:rPr>
          <w:b/>
          <w:color w:val="000000"/>
        </w:rPr>
      </w:pPr>
    </w:p>
    <w:p w:rsidR="00DA198A" w:rsidRPr="00BE0E8C" w:rsidRDefault="00DA198A" w:rsidP="00DA198A">
      <w:pPr>
        <w:pStyle w:val="NormalWeb"/>
        <w:shd w:val="clear" w:color="auto" w:fill="FFFFFF"/>
        <w:spacing w:before="0" w:beforeAutospacing="0" w:after="0" w:afterAutospacing="0"/>
        <w:jc w:val="both"/>
        <w:rPr>
          <w:i/>
          <w:color w:val="000000"/>
        </w:rPr>
      </w:pPr>
      <w:r w:rsidRPr="00BE0E8C">
        <w:rPr>
          <w:i/>
          <w:color w:val="000000"/>
        </w:rPr>
        <w:t>All Banks</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Please refer to our </w:t>
      </w:r>
      <w:hyperlink r:id="rId57" w:tgtFrame="_blank" w:history="1">
        <w:r w:rsidRPr="00BE0E8C">
          <w:rPr>
            <w:rStyle w:val="Hyperlink"/>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DA198A" w:rsidRPr="00BE0E8C" w:rsidRDefault="00DA198A" w:rsidP="00DA198A">
      <w:pPr>
        <w:pStyle w:val="NormalWeb"/>
        <w:shd w:val="clear" w:color="auto" w:fill="FFFFFF"/>
        <w:spacing w:before="0" w:beforeAutospacing="0" w:after="0" w:afterAutospacing="0"/>
        <w:jc w:val="both"/>
        <w:rPr>
          <w:color w:val="000000"/>
        </w:rPr>
      </w:pPr>
    </w:p>
    <w:p w:rsidR="00DA198A" w:rsidRPr="00BE0E8C" w:rsidRDefault="00DA198A" w:rsidP="00DA198A">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58" w:tgtFrame="_blank" w:history="1">
        <w:r w:rsidRPr="00BE0E8C">
          <w:rPr>
            <w:rStyle w:val="Hyperlink"/>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59"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DA198A" w:rsidRPr="00BE0E8C" w:rsidRDefault="00DA198A" w:rsidP="00DA198A">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DA198A" w:rsidRPr="00BE0E8C" w:rsidRDefault="00DA198A" w:rsidP="00DA198A">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DA198A" w:rsidRPr="00BE0E8C" w:rsidRDefault="00DA198A" w:rsidP="00DA198A">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DA198A" w:rsidRPr="00BE0E8C" w:rsidRDefault="00DA198A" w:rsidP="00DA198A">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DA198A" w:rsidRPr="00BE0E8C" w:rsidRDefault="00DA198A" w:rsidP="00DA198A">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DA198A" w:rsidRPr="00BE0E8C" w:rsidRDefault="00DA198A" w:rsidP="00DA198A">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w:t>
      </w:r>
      <w:r w:rsidRPr="00BE0E8C">
        <w:rPr>
          <w:rFonts w:ascii="Times New Roman" w:eastAsia="Times New Roman" w:hAnsi="Times New Roman" w:cs="Times New Roman"/>
          <w:color w:val="000000"/>
          <w:sz w:val="24"/>
          <w:szCs w:val="24"/>
          <w:lang w:eastAsia="en-IN"/>
        </w:rPr>
        <w:lastRenderedPageBreak/>
        <w:t>acquire capital assets. It shall also include investments which are in the nature of / in lieu of credit.</w:t>
      </w:r>
    </w:p>
    <w:p w:rsidR="00DA198A" w:rsidRPr="00BE0E8C" w:rsidRDefault="00DA198A" w:rsidP="00DA198A">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DA198A" w:rsidRPr="00BE0E8C" w:rsidRDefault="00DA198A" w:rsidP="00DA198A">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DA198A" w:rsidRPr="00BE0E8C" w:rsidRDefault="00DA198A" w:rsidP="00DA198A">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DA198A" w:rsidRPr="00BE0E8C" w:rsidRDefault="00DA198A" w:rsidP="00DA198A">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DA198A" w:rsidRPr="00BE0E8C" w:rsidRDefault="00DA198A" w:rsidP="00DA198A">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DA198A" w:rsidRPr="00BE0E8C" w:rsidRDefault="00DA198A" w:rsidP="00DA198A">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5. UCBs shall submit information pertaining to their director-related loans as at the end of each quarter (i.e. 31 March, 30 June, 30 September and 31 December), in the format given in the </w:t>
      </w:r>
      <w:hyperlink r:id="rId60"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Default="00C66C9C" w:rsidP="00DA198A">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61" w:history="1">
        <w:r w:rsidR="00DA198A"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DA198A" w:rsidRDefault="00DA198A" w:rsidP="00DA198A">
      <w:pPr>
        <w:jc w:val="center"/>
        <w:rPr>
          <w:rFonts w:ascii="Times New Roman" w:hAnsi="Times New Roman" w:cs="Times New Roman"/>
          <w:b/>
          <w:sz w:val="36"/>
        </w:rPr>
      </w:pPr>
    </w:p>
    <w:p w:rsidR="00DA198A" w:rsidRPr="00BE0E8C" w:rsidRDefault="00DA198A" w:rsidP="00DA198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Risk Based Internal Audit (RBIA) Framework – Strengthening Governance arrangements</w:t>
      </w:r>
    </w:p>
    <w:p w:rsidR="00DA198A" w:rsidRPr="00BE0E8C" w:rsidRDefault="00DA198A" w:rsidP="00DA198A">
      <w:pPr>
        <w:spacing w:after="0" w:line="240" w:lineRule="auto"/>
        <w:jc w:val="both"/>
        <w:rPr>
          <w:rFonts w:ascii="Times New Roman" w:hAnsi="Times New Roman" w:cs="Times New Roman"/>
          <w:b/>
          <w:sz w:val="24"/>
          <w:szCs w:val="24"/>
        </w:rPr>
      </w:pPr>
    </w:p>
    <w:p w:rsidR="00DA198A" w:rsidRPr="00BE0E8C" w:rsidRDefault="00DA198A" w:rsidP="00DA198A">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 xml:space="preserve">RBI/2020-21/83 </w:t>
      </w:r>
      <w:proofErr w:type="spellStart"/>
      <w:proofErr w:type="gramStart"/>
      <w:r w:rsidRPr="00BE0E8C">
        <w:rPr>
          <w:rFonts w:ascii="Times New Roman" w:hAnsi="Times New Roman" w:cs="Times New Roman"/>
          <w:b/>
          <w:sz w:val="24"/>
          <w:szCs w:val="24"/>
        </w:rPr>
        <w:t>Ref.No.DoS.CO.PPG</w:t>
      </w:r>
      <w:proofErr w:type="spellEnd"/>
      <w:r w:rsidRPr="00BE0E8C">
        <w:rPr>
          <w:rFonts w:ascii="Times New Roman" w:hAnsi="Times New Roman" w:cs="Times New Roman"/>
          <w:b/>
          <w:sz w:val="24"/>
          <w:szCs w:val="24"/>
        </w:rPr>
        <w:t>./</w:t>
      </w:r>
      <w:proofErr w:type="gramEnd"/>
      <w:r w:rsidRPr="00BE0E8C">
        <w:rPr>
          <w:rFonts w:ascii="Times New Roman" w:hAnsi="Times New Roman" w:cs="Times New Roman"/>
          <w:b/>
          <w:sz w:val="24"/>
          <w:szCs w:val="24"/>
        </w:rPr>
        <w:t xml:space="preserve">SEC.04/11.01.005/2020-21 </w:t>
      </w:r>
      <w:r w:rsidRPr="00BE0E8C">
        <w:rPr>
          <w:rFonts w:ascii="Times New Roman" w:hAnsi="Times New Roman" w:cs="Times New Roman"/>
          <w:b/>
          <w:sz w:val="24"/>
          <w:szCs w:val="24"/>
        </w:rPr>
        <w:tab/>
        <w:t>January 07, 2021</w:t>
      </w:r>
    </w:p>
    <w:p w:rsidR="00DA198A" w:rsidRPr="00BE0E8C" w:rsidRDefault="00DA198A" w:rsidP="00DA198A">
      <w:pPr>
        <w:spacing w:after="0" w:line="240" w:lineRule="auto"/>
        <w:jc w:val="both"/>
        <w:rPr>
          <w:rFonts w:ascii="Times New Roman" w:hAnsi="Times New Roman" w:cs="Times New Roman"/>
          <w:sz w:val="24"/>
          <w:szCs w:val="24"/>
        </w:rPr>
      </w:pPr>
    </w:p>
    <w:p w:rsidR="00DA198A" w:rsidRPr="00BE0E8C" w:rsidRDefault="00DA198A" w:rsidP="00DA198A">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All Scheduled Commercial Banks (Excluding RRBs), All Local Area Banks, All Small Finance Banks and All Payments Banks</w:t>
      </w:r>
    </w:p>
    <w:p w:rsidR="00DA198A" w:rsidRPr="00BE0E8C" w:rsidRDefault="00DA198A" w:rsidP="00DA198A">
      <w:pPr>
        <w:spacing w:after="0" w:line="240" w:lineRule="auto"/>
        <w:jc w:val="both"/>
        <w:rPr>
          <w:rFonts w:ascii="Times New Roman" w:hAnsi="Times New Roman" w:cs="Times New Roman"/>
          <w:sz w:val="24"/>
          <w:szCs w:val="24"/>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terms of the Guidance Note on Risk-Based Internal Audit issued by RBI vide </w:t>
      </w:r>
      <w:hyperlink r:id="rId62"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banks, inter alia, are required to put in place a risk based internal audit (RBIA) system as part of their internal control framework that relies on a well-defined policy for internal audit, functional independence with sufficient standing and authority within the bank, effective channels of communication, adequate audit resources with sufficient professional competence, among others.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While the aforesaid Guidance Note lays out the basic approach for risk based internal audit functions, banks are expected to re-orient their approach, in line with the evolving best practices, as a part of their overall Governance and Internal Control framework. Banks are encouraged to adopt the International Internal Audit standards, like those issued by the Basel Committee on Banking Supervision (BCBS) and the Institute of Internal Auditors (IIA).</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To bring uniformity in approach followed by the banks, as also to align the expectations on Internal Audit Function with the best practices, banks are advised as under:</w:t>
      </w:r>
    </w:p>
    <w:p w:rsidR="00DA198A" w:rsidRPr="00BE0E8C" w:rsidRDefault="00DA198A" w:rsidP="00DA198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Authority, Stature and Independence</w:t>
      </w:r>
      <w:r w:rsidRPr="00BE0E8C">
        <w:rPr>
          <w:rFonts w:ascii="Times New Roman" w:eastAsia="Times New Roman" w:hAnsi="Times New Roman" w:cs="Times New Roman"/>
          <w:color w:val="000000"/>
          <w:sz w:val="24"/>
          <w:szCs w:val="24"/>
          <w:lang w:eastAsia="en-IN"/>
        </w:rPr>
        <w:t xml:space="preserve"> - The internal audit function must have sufficient authority, stature, independence and resources within the bank, thereby enabling internal auditors to carry out their assignments with objectivity. Accordingly, the Head of Internal Audit (HIA) shall be a senior executive of the bank who shall have the ability to exercise independent judgement. The HIA as well as the internal audit function shall </w:t>
      </w:r>
      <w:r w:rsidRPr="00BE0E8C">
        <w:rPr>
          <w:rFonts w:ascii="Times New Roman" w:eastAsia="Times New Roman" w:hAnsi="Times New Roman" w:cs="Times New Roman"/>
          <w:color w:val="000000"/>
          <w:sz w:val="24"/>
          <w:szCs w:val="24"/>
          <w:lang w:eastAsia="en-IN"/>
        </w:rPr>
        <w:lastRenderedPageBreak/>
        <w:t>have the authority to communicate with any staff member and have access to all records or files that are necessary to carry out the entrusted responsibilities.</w:t>
      </w:r>
    </w:p>
    <w:p w:rsidR="00DA198A" w:rsidRPr="00BE0E8C" w:rsidRDefault="00DA198A" w:rsidP="00DA198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Competence</w:t>
      </w:r>
      <w:r w:rsidRPr="00BE0E8C">
        <w:rPr>
          <w:rFonts w:ascii="Times New Roman" w:eastAsia="Times New Roman" w:hAnsi="Times New Roman" w:cs="Times New Roman"/>
          <w:color w:val="000000"/>
          <w:sz w:val="24"/>
          <w:szCs w:val="24"/>
          <w:lang w:eastAsia="en-IN"/>
        </w:rPr>
        <w:t> - Requisite professional competence, knowledge and experience of each internal auditor is essential for the effectiveness of the bank's internal audit function. The desired areas of knowledge and experience may include banking operations, accounting, information technology, data analytics and forensic investigation, among others. Banks should ensure that internal audit function has the requisite skills to audit all areas of the bank.</w:t>
      </w:r>
    </w:p>
    <w:p w:rsidR="00DA198A" w:rsidRPr="00BE0E8C" w:rsidRDefault="00DA198A" w:rsidP="00DA198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Staff Rotation</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Board should prescribe a minimum period of service for staff in the Internal Audit function. The Board may also examine the feasibility of prescribing at least one stint of service in the internal audit function for those staff possessing specialized knowledge useful for the audit function, but who are posted in other departments, so as to have adequate skills for the staff in the Internal Audit function.</w:t>
      </w:r>
    </w:p>
    <w:p w:rsidR="00DA198A" w:rsidRPr="00BE0E8C" w:rsidRDefault="00DA198A" w:rsidP="00DA198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Tenor for appointment of Head of Internal Audit</w:t>
      </w:r>
      <w:r w:rsidRPr="00BE0E8C">
        <w:rPr>
          <w:rFonts w:ascii="Times New Roman" w:eastAsia="Times New Roman" w:hAnsi="Times New Roman" w:cs="Times New Roman"/>
          <w:color w:val="000000"/>
          <w:sz w:val="24"/>
          <w:szCs w:val="24"/>
          <w:lang w:eastAsia="en-IN"/>
        </w:rPr>
        <w:t> - Except for the entities where the internal audit function is a specialised function and managed by career internal auditors, the HIA shall be appointed for a reasonably long period, preferably for a minimum of three years.</w:t>
      </w:r>
    </w:p>
    <w:p w:rsidR="00DA198A" w:rsidRPr="00BE0E8C" w:rsidRDefault="00DA198A" w:rsidP="00DA198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Reporting Line</w:t>
      </w:r>
      <w:r w:rsidRPr="00BE0E8C">
        <w:rPr>
          <w:rFonts w:ascii="Times New Roman" w:eastAsia="Times New Roman" w:hAnsi="Times New Roman" w:cs="Times New Roman"/>
          <w:color w:val="000000"/>
          <w:sz w:val="24"/>
          <w:szCs w:val="24"/>
          <w:lang w:eastAsia="en-IN"/>
        </w:rPr>
        <w:t> - The HIA shall directly report to either the Audit Committee of the Board (ACB) / MD &amp; CEO or Whole Time Director (WTD). Should the Board of Directors decide to allow the MD &amp; CEO or a WTD to be the ‘reporting authority’ of the HIA, then the ‘reviewing authority’ shall be with the ACB and the ‘accepting authority’ shall be with the Board in matters of performance appraisal of the HIA. Further, in such cases, the ACB shall meet the HIA at least once in a quarter, without the presence of the senior management, including the MD &amp; CEO/WTD. The HIA shall not have any reporting relationship with the business verticals of the bank and shall not be given any business targets. In foreign banks operating in India as branches, the HIA shall report to the internal audit function in the controlling office / head office.</w:t>
      </w:r>
    </w:p>
    <w:p w:rsidR="00DA198A" w:rsidRPr="00BE0E8C" w:rsidRDefault="00DA198A" w:rsidP="00DA198A">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u w:val="single"/>
          <w:lang w:eastAsia="en-IN"/>
        </w:rPr>
        <w:t>Remuneration</w:t>
      </w:r>
      <w:r w:rsidRPr="00BE0E8C">
        <w:rPr>
          <w:rFonts w:ascii="Times New Roman" w:eastAsia="Times New Roman" w:hAnsi="Times New Roman" w:cs="Times New Roman"/>
          <w:color w:val="000000"/>
          <w:sz w:val="24"/>
          <w:szCs w:val="24"/>
          <w:lang w:eastAsia="en-IN"/>
        </w:rPr>
        <w:t> - The independence and objectivity of the internal audit function could be undermined if the remuneration of internal audit staff is linked to the financial performance of the business lines for which they exercise audit responsibilities. Thus, the remuneration policies should be structured in a way that it avoids creating conflict of interest and compromising audit’s independence and objectivity.</w:t>
      </w:r>
    </w:p>
    <w:p w:rsidR="00DA198A" w:rsidRPr="00BE0E8C" w:rsidRDefault="00DA198A" w:rsidP="00DA198A">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internal audit function shall not be outsourced. However, where required, experts, including former employees, could be hired on contractual basis subject to the ACB being assured that such expertise does not exist within the audit function of the bank. Any conflict of interest in such matters shall be recognised and effectively addressed. Ownership of audit reports in all cases shall rest with regular functionaries of the internal audit function.</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Banks must ensure and demonstrate through proper documentation that their risk-based internal audit framework captures all the significant criteria / principles suited for their organisational structure, the business model and the risks.</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instructions contained in this circular shall come into effect immediately from the date of this circular.</w:t>
      </w:r>
    </w:p>
    <w:p w:rsidR="00DA198A" w:rsidRPr="00BE0E8C" w:rsidRDefault="00DA198A" w:rsidP="00DA198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DA198A"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This circular supplement the guidelines issued by Reserve Bank of India on </w:t>
      </w:r>
      <w:hyperlink r:id="rId63" w:tgtFrame="_blank" w:history="1">
        <w:r w:rsidRPr="00BE0E8C">
          <w:rPr>
            <w:rFonts w:ascii="Times New Roman" w:eastAsia="Times New Roman" w:hAnsi="Times New Roman" w:cs="Times New Roman"/>
            <w:color w:val="0000FF"/>
            <w:sz w:val="24"/>
            <w:szCs w:val="24"/>
            <w:u w:val="single"/>
            <w:lang w:eastAsia="en-IN"/>
          </w:rPr>
          <w:t>December 27, 2002</w:t>
        </w:r>
      </w:hyperlink>
      <w:r w:rsidRPr="00BE0E8C">
        <w:rPr>
          <w:rFonts w:ascii="Times New Roman" w:eastAsia="Times New Roman" w:hAnsi="Times New Roman" w:cs="Times New Roman"/>
          <w:color w:val="000000"/>
          <w:sz w:val="24"/>
          <w:szCs w:val="24"/>
          <w:lang w:eastAsia="en-IN"/>
        </w:rPr>
        <w:t xml:space="preserve"> on Risk-based internal audit along with other circulars/instruction on the subject issued </w:t>
      </w:r>
      <w:r w:rsidRPr="00BE0E8C">
        <w:rPr>
          <w:rFonts w:ascii="Times New Roman" w:eastAsia="Times New Roman" w:hAnsi="Times New Roman" w:cs="Times New Roman"/>
          <w:color w:val="000000"/>
          <w:sz w:val="24"/>
          <w:szCs w:val="24"/>
          <w:lang w:eastAsia="en-IN"/>
        </w:rPr>
        <w:lastRenderedPageBreak/>
        <w:t>from time-to time and for any common areas of guidance, the prescription of this circular shall be followed.</w:t>
      </w:r>
    </w:p>
    <w:p w:rsidR="00DA198A" w:rsidRPr="00BE0E8C" w:rsidRDefault="00DA198A"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A198A" w:rsidRPr="00BE0E8C" w:rsidRDefault="00C66C9C" w:rsidP="00DA198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64" w:history="1">
        <w:r w:rsidR="00DA198A" w:rsidRPr="00BE0E8C">
          <w:rPr>
            <w:rStyle w:val="Hyperlink"/>
            <w:rFonts w:ascii="Times New Roman" w:eastAsia="Times New Roman" w:hAnsi="Times New Roman" w:cs="Times New Roman"/>
            <w:sz w:val="24"/>
            <w:szCs w:val="24"/>
            <w:lang w:eastAsia="en-IN"/>
          </w:rPr>
          <w:t>https://www.rbi.org.in/Scripts/NotificationUser.aspx?Id=12011&amp;Mode=0</w:t>
        </w:r>
      </w:hyperlink>
      <w:r w:rsidR="00DA198A" w:rsidRPr="00BE0E8C">
        <w:rPr>
          <w:rFonts w:ascii="Times New Roman" w:eastAsia="Times New Roman" w:hAnsi="Times New Roman" w:cs="Times New Roman"/>
          <w:color w:val="000000"/>
          <w:sz w:val="24"/>
          <w:szCs w:val="24"/>
          <w:lang w:eastAsia="en-IN"/>
        </w:rPr>
        <w:t xml:space="preserve"> </w:t>
      </w:r>
    </w:p>
    <w:p w:rsidR="00DA198A" w:rsidRPr="00DA198A" w:rsidRDefault="00DA198A" w:rsidP="00DA198A">
      <w:pPr>
        <w:jc w:val="center"/>
        <w:rPr>
          <w:rFonts w:ascii="Times New Roman" w:hAnsi="Times New Roman" w:cs="Times New Roman"/>
          <w:b/>
          <w:sz w:val="36"/>
        </w:rPr>
      </w:pPr>
    </w:p>
    <w:sectPr w:rsidR="00DA198A" w:rsidRPr="00DA1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3740"/>
    <w:multiLevelType w:val="multilevel"/>
    <w:tmpl w:val="A2982F8A"/>
    <w:lvl w:ilvl="0">
      <w:start w:val="1"/>
      <w:numFmt w:val="upp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7BA643A"/>
    <w:multiLevelType w:val="multilevel"/>
    <w:tmpl w:val="AB489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C24FB1"/>
    <w:multiLevelType w:val="multilevel"/>
    <w:tmpl w:val="12803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0"/>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BE"/>
    <w:rsid w:val="00497E16"/>
    <w:rsid w:val="00A90AED"/>
    <w:rsid w:val="00C01DBE"/>
    <w:rsid w:val="00C66C9C"/>
    <w:rsid w:val="00DA1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2CC54-0A6A-42C4-875A-BCCF6846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9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A198A"/>
    <w:rPr>
      <w:color w:val="0000FF"/>
      <w:u w:val="single"/>
    </w:rPr>
  </w:style>
  <w:style w:type="paragraph" w:customStyle="1" w:styleId="head">
    <w:name w:val="head"/>
    <w:basedOn w:val="Normal"/>
    <w:rsid w:val="00DA198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DA198A"/>
  </w:style>
  <w:style w:type="paragraph" w:styleId="ListParagraph">
    <w:name w:val="List Paragraph"/>
    <w:basedOn w:val="Normal"/>
    <w:uiPriority w:val="34"/>
    <w:qFormat/>
    <w:rsid w:val="00DA1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8737&amp;Mode=0" TargetMode="External"/><Relationship Id="rId18" Type="http://schemas.openxmlformats.org/officeDocument/2006/relationships/hyperlink" Target="https://www.rbi.org.in/Scripts/NotificationUser.aspx?Id=12079&amp;Mode=0" TargetMode="External"/><Relationship Id="rId26" Type="http://schemas.openxmlformats.org/officeDocument/2006/relationships/hyperlink" Target="https://www.rbi.org.in/Scripts/NotificationUser.aspx?Id=12079&amp;Mode=0" TargetMode="External"/><Relationship Id="rId39" Type="http://schemas.openxmlformats.org/officeDocument/2006/relationships/hyperlink" Target="https://www.rbi.org.in/Scripts/NotificationUser.aspx?Id=12078&amp;Mode=0" TargetMode="External"/><Relationship Id="rId21" Type="http://schemas.openxmlformats.org/officeDocument/2006/relationships/hyperlink" Target="https://www.rbi.org.in/Scripts/NotificationUser.aspx?Id=12079&amp;Mode=0" TargetMode="External"/><Relationship Id="rId34" Type="http://schemas.openxmlformats.org/officeDocument/2006/relationships/hyperlink" Target="https://www.rbi.org.in/Scripts/NotificationUser.aspx?Id=12078&amp;Mode=0" TargetMode="External"/><Relationship Id="rId42" Type="http://schemas.openxmlformats.org/officeDocument/2006/relationships/hyperlink" Target="https://www.rbi.org.in/Scripts/NotificationUser.aspx?Id=2240&amp;Mode=0" TargetMode="External"/><Relationship Id="rId47" Type="http://schemas.openxmlformats.org/officeDocument/2006/relationships/hyperlink" Target="https://rbi.org.in/Scripts/NotificationUser.aspx?Id=8968&amp;Mode=0" TargetMode="External"/><Relationship Id="rId50" Type="http://schemas.openxmlformats.org/officeDocument/2006/relationships/hyperlink" Target="https://www.rbi.org.in/Scripts/NotificationUser.aspx?Id=9859&amp;Mode=0" TargetMode="External"/><Relationship Id="rId55" Type="http://schemas.openxmlformats.org/officeDocument/2006/relationships/hyperlink" Target="https://www.rbi.org.in/Scripts/BS_PressReleaseDisplay.aspx?prid=50427" TargetMode="External"/><Relationship Id="rId63" Type="http://schemas.openxmlformats.org/officeDocument/2006/relationships/hyperlink" Target="https://www.rbi.org.in/Scripts/NotificationUser.aspx?Id=1020&amp;Mode=0" TargetMode="External"/><Relationship Id="rId7" Type="http://schemas.openxmlformats.org/officeDocument/2006/relationships/hyperlink" Target="https://www.rbi.org.in/Scripts/NotificationUser.aspx?Id=12018&amp;Mode=0" TargetMode="External"/><Relationship Id="rId2" Type="http://schemas.openxmlformats.org/officeDocument/2006/relationships/styles" Target="styles.xml"/><Relationship Id="rId16" Type="http://schemas.openxmlformats.org/officeDocument/2006/relationships/hyperlink" Target="https://www.rbi.org.in/Scripts/NotificationUser.aspx?Id=12079&amp;Mode=0" TargetMode="External"/><Relationship Id="rId20" Type="http://schemas.openxmlformats.org/officeDocument/2006/relationships/hyperlink" Target="https://www.rbi.org.in/Scripts/NotificationUser.aspx?Id=12079&amp;Mode=0" TargetMode="External"/><Relationship Id="rId29" Type="http://schemas.openxmlformats.org/officeDocument/2006/relationships/hyperlink" Target="https://www.rbi.org.in/Scripts/NotificationUser.aspx?Id=12079&amp;Mode=0" TargetMode="External"/><Relationship Id="rId41" Type="http://schemas.openxmlformats.org/officeDocument/2006/relationships/hyperlink" Target="https://www.rbi.org.in/Scripts/NotificationUser.aspx?Id=2240&amp;Mode=0" TargetMode="External"/><Relationship Id="rId54" Type="http://schemas.openxmlformats.org/officeDocument/2006/relationships/hyperlink" Target="https://www.rbi.org.in/Scripts/NotificationUser.aspx?Id=12004&amp;Mode=0" TargetMode="External"/><Relationship Id="rId62" Type="http://schemas.openxmlformats.org/officeDocument/2006/relationships/hyperlink" Target="https://www.rbi.org.in/Scripts/NotificationUser.aspx?Id=1020&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011&amp;Mode=0" TargetMode="External"/><Relationship Id="rId11" Type="http://schemas.openxmlformats.org/officeDocument/2006/relationships/hyperlink" Target="https://www.rbi.org.in/scripts/NotificationUser.aspx?Id=3334&amp;Mode=0" TargetMode="External"/><Relationship Id="rId24" Type="http://schemas.openxmlformats.org/officeDocument/2006/relationships/hyperlink" Target="https://www.rbi.org.in/Scripts/NotificationUser.aspx?Id=12079&amp;Mode=0" TargetMode="External"/><Relationship Id="rId32" Type="http://schemas.openxmlformats.org/officeDocument/2006/relationships/hyperlink" Target="https://www.rbi.org.in/Scripts/BS_PressReleaseDisplay.aspx?prid=49937" TargetMode="External"/><Relationship Id="rId37" Type="http://schemas.openxmlformats.org/officeDocument/2006/relationships/hyperlink" Target="https://www.rbi.org.in/Scripts/NotificationUser.aspx?Id=12078&amp;Mode=0" TargetMode="External"/><Relationship Id="rId40" Type="http://schemas.openxmlformats.org/officeDocument/2006/relationships/hyperlink" Target="https://rbi.org.in/Scripts/NotificationUser.aspx?Id=12003&amp;Mode=0" TargetMode="External"/><Relationship Id="rId45" Type="http://schemas.openxmlformats.org/officeDocument/2006/relationships/hyperlink" Target="https://rbi.org.in/Scripts/NotificationUser.aspx?Id=11827&amp;Mode=0" TargetMode="External"/><Relationship Id="rId53" Type="http://schemas.openxmlformats.org/officeDocument/2006/relationships/hyperlink" Target="https://www.rbi.org.in/Scripts/NotificationUser.aspx?Id=11838&amp;Mode=0" TargetMode="External"/><Relationship Id="rId58" Type="http://schemas.openxmlformats.org/officeDocument/2006/relationships/hyperlink" Target="https://www.rbi.org.in/Scripts/BS_PressReleaseDisplay.aspx?prid=51078" TargetMode="External"/><Relationship Id="rId66" Type="http://schemas.openxmlformats.org/officeDocument/2006/relationships/theme" Target="theme/theme1.xml"/><Relationship Id="rId5" Type="http://schemas.openxmlformats.org/officeDocument/2006/relationships/hyperlink" Target="https://www.rbi.org.in/Scripts/NotificationUser.aspx?Id=1020&amp;Mode=0" TargetMode="External"/><Relationship Id="rId15" Type="http://schemas.openxmlformats.org/officeDocument/2006/relationships/hyperlink" Target="https://www.rbi.org.in/Scripts/NotificationUser.aspx?Id=12079&amp;Mode=0" TargetMode="External"/><Relationship Id="rId23" Type="http://schemas.openxmlformats.org/officeDocument/2006/relationships/hyperlink" Target="https://www.rbi.org.in/Scripts/NotificationUser.aspx?Id=12079&amp;Mode=0" TargetMode="External"/><Relationship Id="rId28" Type="http://schemas.openxmlformats.org/officeDocument/2006/relationships/hyperlink" Target="https://www.rbi.org.in/Scripts/NotificationUser.aspx?Id=12079&amp;Mode=0" TargetMode="External"/><Relationship Id="rId36" Type="http://schemas.openxmlformats.org/officeDocument/2006/relationships/hyperlink" Target="https://www.rbi.org.in/Scripts/NotificationUser.aspx?Id=12078&amp;Mode=0" TargetMode="External"/><Relationship Id="rId49" Type="http://schemas.openxmlformats.org/officeDocument/2006/relationships/hyperlink" Target="https://www.rbi.org.in/Scripts/NotificationUser.aspx?Id=11573&amp;Mode=0" TargetMode="External"/><Relationship Id="rId57" Type="http://schemas.openxmlformats.org/officeDocument/2006/relationships/hyperlink" Target="https://www.rbi.org.in/Scripts/NotificationUser.aspx?Id=11841&amp;Mode=0" TargetMode="External"/><Relationship Id="rId61" Type="http://schemas.openxmlformats.org/officeDocument/2006/relationships/hyperlink" Target="https://www.rbi.org.in/Scripts/NotificationUser.aspx?Id=12019&amp;Mode=0" TargetMode="External"/><Relationship Id="rId10" Type="http://schemas.openxmlformats.org/officeDocument/2006/relationships/hyperlink" Target="https://www.rbi.org.in/scripts/NotificationUser.aspx?Id=2918&amp;Mode=0" TargetMode="External"/><Relationship Id="rId19" Type="http://schemas.openxmlformats.org/officeDocument/2006/relationships/hyperlink" Target="https://www.rbi.org.in/Scripts/NotificationUser.aspx?Id=12079&amp;Mode=0" TargetMode="External"/><Relationship Id="rId31" Type="http://schemas.openxmlformats.org/officeDocument/2006/relationships/hyperlink" Target="https://www.rbi.org.in/Scripts/NotificationUser.aspx?Id=12079&amp;Mode=0" TargetMode="External"/><Relationship Id="rId44" Type="http://schemas.openxmlformats.org/officeDocument/2006/relationships/hyperlink" Target="https://www.rbi.org.in/Scripts/NotificationUser.aspx?Id=12071&amp;Mode=0" TargetMode="External"/><Relationship Id="rId52" Type="http://schemas.openxmlformats.org/officeDocument/2006/relationships/hyperlink" Target="https://www.rbi.org.in/Scripts/NotificationUser.aspx?Id=11971&amp;Mode=0" TargetMode="External"/><Relationship Id="rId60" Type="http://schemas.openxmlformats.org/officeDocument/2006/relationships/hyperlink" Target="https://rbidocs.rbi.org.in/rdocs/content/pdfs/89NOT05022021_AN.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2018&amp;Mode=0" TargetMode="External"/><Relationship Id="rId14" Type="http://schemas.openxmlformats.org/officeDocument/2006/relationships/hyperlink" Target="https://www.rbi.org.in/scripts/NotificationUser.aspx?Id=9624&amp;Mode=0" TargetMode="External"/><Relationship Id="rId22" Type="http://schemas.openxmlformats.org/officeDocument/2006/relationships/hyperlink" Target="https://www.rbi.org.in/Scripts/NotificationUser.aspx?Id=12079&amp;Mode=0" TargetMode="External"/><Relationship Id="rId27" Type="http://schemas.openxmlformats.org/officeDocument/2006/relationships/hyperlink" Target="https://www.rbi.org.in/Scripts/NotificationUser.aspx?Id=12079&amp;Mode=0" TargetMode="External"/><Relationship Id="rId30" Type="http://schemas.openxmlformats.org/officeDocument/2006/relationships/hyperlink" Target="https://www.rbi.org.in/Scripts/NotificationUser.aspx?Id=12079&amp;Mode=0" TargetMode="External"/><Relationship Id="rId35" Type="http://schemas.openxmlformats.org/officeDocument/2006/relationships/hyperlink" Target="https://www.rbi.org.in/Scripts/NotificationUser.aspx?Id=12078&amp;Mode=0" TargetMode="External"/><Relationship Id="rId43" Type="http://schemas.openxmlformats.org/officeDocument/2006/relationships/hyperlink" Target="https://www.rbi.org.in/Scripts/NotificationUser.aspx?Id=12077&amp;Mode=0" TargetMode="External"/><Relationship Id="rId48" Type="http://schemas.openxmlformats.org/officeDocument/2006/relationships/hyperlink" Target="https://rbi.org.in/Scripts/NotificationUser.aspx?Id=11941&amp;Mode=0" TargetMode="External"/><Relationship Id="rId56" Type="http://schemas.openxmlformats.org/officeDocument/2006/relationships/hyperlink" Target="https://www.rbi.org.in/Scripts/BS_PressReleaseDisplay.aspx?prid=51078" TargetMode="External"/><Relationship Id="rId64" Type="http://schemas.openxmlformats.org/officeDocument/2006/relationships/hyperlink" Target="https://www.rbi.org.in/Scripts/NotificationUser.aspx?Id=12011&amp;Mode=0" TargetMode="External"/><Relationship Id="rId8" Type="http://schemas.openxmlformats.org/officeDocument/2006/relationships/hyperlink" Target="https://www.rbi.org.in/Scripts/NotificationUser.aspx?Id=12018&amp;Mode=0" TargetMode="External"/><Relationship Id="rId51" Type="http://schemas.openxmlformats.org/officeDocument/2006/relationships/hyperlink" Target="https://www.rbi.org.in/Scripts/NotificationUser.aspx?Id=11278&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6357&amp;Mode=0" TargetMode="External"/><Relationship Id="rId17" Type="http://schemas.openxmlformats.org/officeDocument/2006/relationships/hyperlink" Target="https://www.rbi.org.in/Scripts/NotificationUser.aspx?Id=12079&amp;Mode=0" TargetMode="External"/><Relationship Id="rId25" Type="http://schemas.openxmlformats.org/officeDocument/2006/relationships/hyperlink" Target="https://www.rbi.org.in/Scripts/NotificationUser.aspx?Id=12079&amp;Mode=0" TargetMode="External"/><Relationship Id="rId33" Type="http://schemas.openxmlformats.org/officeDocument/2006/relationships/hyperlink" Target="https://www.rbi.org.in/Scripts/NotificationUser.aspx?Id=12078&amp;Mode=0" TargetMode="External"/><Relationship Id="rId38" Type="http://schemas.openxmlformats.org/officeDocument/2006/relationships/hyperlink" Target="https://www.rbi.org.in/Scripts/NotificationUser.aspx?Id=12078&amp;Mode=0" TargetMode="External"/><Relationship Id="rId46" Type="http://schemas.openxmlformats.org/officeDocument/2006/relationships/hyperlink" Target="https://www.rbi.org.in/Scripts/NotificationUser.aspx?Id=12072&amp;Mode=0" TargetMode="External"/><Relationship Id="rId59" Type="http://schemas.openxmlformats.org/officeDocument/2006/relationships/hyperlink" Target="https://www.rbi.org.in/Scripts/NotificationUser.aspx?Id=120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8630</Words>
  <Characters>49191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4</cp:revision>
  <dcterms:created xsi:type="dcterms:W3CDTF">2021-07-17T09:51:00Z</dcterms:created>
  <dcterms:modified xsi:type="dcterms:W3CDTF">2021-07-19T07:19:00Z</dcterms:modified>
</cp:coreProperties>
</file>