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E186" w14:textId="5A61BC80" w:rsidR="001C3B05" w:rsidRPr="00591611" w:rsidRDefault="00430B8C" w:rsidP="004B4C86">
      <w:pPr>
        <w:jc w:val="center"/>
        <w:rPr>
          <w:b/>
          <w:bCs/>
          <w:sz w:val="28"/>
          <w:lang w:val="en-US"/>
        </w:rPr>
      </w:pPr>
      <w:r w:rsidRPr="00591611">
        <w:rPr>
          <w:b/>
          <w:bCs/>
          <w:sz w:val="28"/>
          <w:lang w:val="en-US"/>
        </w:rPr>
        <w:t>CERTIFICATE COURSE ON MSME</w:t>
      </w:r>
    </w:p>
    <w:tbl>
      <w:tblPr>
        <w:tblW w:w="10916" w:type="dxa"/>
        <w:tblInd w:w="-998" w:type="dxa"/>
        <w:tblLook w:val="04A0" w:firstRow="1" w:lastRow="0" w:firstColumn="1" w:lastColumn="0" w:noHBand="0" w:noVBand="1"/>
      </w:tblPr>
      <w:tblGrid>
        <w:gridCol w:w="993"/>
        <w:gridCol w:w="9923"/>
      </w:tblGrid>
      <w:tr w:rsidR="004B4C86" w:rsidRPr="004B4C86" w14:paraId="501A012D" w14:textId="77777777" w:rsidTr="00D8008D">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F7020" w14:textId="72499A63" w:rsidR="004B4C86" w:rsidRPr="004B4C86" w:rsidRDefault="00D8008D" w:rsidP="004B4C86">
            <w:pPr>
              <w:spacing w:after="0" w:line="240" w:lineRule="auto"/>
              <w:jc w:val="center"/>
              <w:rPr>
                <w:rFonts w:ascii="Calibri" w:eastAsia="Times New Roman" w:hAnsi="Calibri" w:cs="Calibri"/>
                <w:b/>
                <w:bCs/>
                <w:color w:val="000000"/>
                <w:kern w:val="0"/>
                <w:sz w:val="24"/>
                <w:szCs w:val="24"/>
                <w:lang w:eastAsia="en-IN"/>
                <w14:ligatures w14:val="none"/>
              </w:rPr>
            </w:pPr>
            <w:r w:rsidRPr="00D8008D">
              <w:rPr>
                <w:rFonts w:ascii="Calibri" w:eastAsia="Times New Roman" w:hAnsi="Calibri" w:cs="Calibri"/>
                <w:b/>
                <w:bCs/>
                <w:color w:val="000000"/>
                <w:kern w:val="0"/>
                <w:sz w:val="24"/>
                <w:szCs w:val="24"/>
                <w:lang w:eastAsia="en-IN"/>
                <w14:ligatures w14:val="none"/>
              </w:rPr>
              <w:t>Sr. No.</w:t>
            </w:r>
          </w:p>
        </w:tc>
        <w:tc>
          <w:tcPr>
            <w:tcW w:w="9923" w:type="dxa"/>
            <w:tcBorders>
              <w:top w:val="single" w:sz="4" w:space="0" w:color="auto"/>
              <w:left w:val="nil"/>
              <w:bottom w:val="single" w:sz="4" w:space="0" w:color="auto"/>
              <w:right w:val="single" w:sz="4" w:space="0" w:color="auto"/>
            </w:tcBorders>
            <w:shd w:val="clear" w:color="auto" w:fill="auto"/>
            <w:vAlign w:val="center"/>
          </w:tcPr>
          <w:p w14:paraId="59BD595C" w14:textId="7F6F41CE" w:rsidR="004B4C86" w:rsidRPr="004B4C86" w:rsidRDefault="00DE7EEB" w:rsidP="00D8008D">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Important</w:t>
            </w:r>
            <w:bookmarkStart w:id="0" w:name="_GoBack"/>
            <w:bookmarkEnd w:id="0"/>
            <w:r w:rsidR="00D8008D" w:rsidRPr="00D8008D">
              <w:rPr>
                <w:rFonts w:ascii="Calibri" w:eastAsia="Times New Roman" w:hAnsi="Calibri" w:cs="Calibri"/>
                <w:b/>
                <w:bCs/>
                <w:color w:val="000000"/>
                <w:kern w:val="0"/>
                <w:sz w:val="24"/>
                <w:szCs w:val="24"/>
                <w:lang w:eastAsia="en-IN"/>
                <w14:ligatures w14:val="none"/>
              </w:rPr>
              <w:t xml:space="preserve"> Notifications</w:t>
            </w:r>
          </w:p>
        </w:tc>
      </w:tr>
      <w:tr w:rsidR="004B4C86" w:rsidRPr="004B4C86" w14:paraId="13AC2DBE" w14:textId="77777777" w:rsidTr="00D8008D">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D5C75" w14:textId="45286728" w:rsidR="004B4C86" w:rsidRPr="00D8008D" w:rsidRDefault="004B4C86" w:rsidP="00D8008D">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single" w:sz="4" w:space="0" w:color="auto"/>
              <w:left w:val="nil"/>
              <w:bottom w:val="single" w:sz="4" w:space="0" w:color="auto"/>
              <w:right w:val="single" w:sz="4" w:space="0" w:color="auto"/>
            </w:tcBorders>
            <w:shd w:val="clear" w:color="auto" w:fill="auto"/>
            <w:vAlign w:val="center"/>
          </w:tcPr>
          <w:p w14:paraId="2D50E69F" w14:textId="0FC8FAAD" w:rsidR="004B4C86" w:rsidRPr="004B4C86" w:rsidRDefault="004B4C86" w:rsidP="004B4C86">
            <w:pPr>
              <w:spacing w:after="0" w:line="240" w:lineRule="auto"/>
              <w:rPr>
                <w:rFonts w:ascii="Calibri" w:eastAsia="Times New Roman" w:hAnsi="Calibri" w:cs="Calibri"/>
                <w:color w:val="000000"/>
                <w:kern w:val="0"/>
                <w:sz w:val="24"/>
                <w:szCs w:val="24"/>
                <w:lang w:eastAsia="en-IN"/>
                <w14:ligatures w14:val="none"/>
              </w:rPr>
            </w:pPr>
            <w:r w:rsidRPr="004B4C86">
              <w:rPr>
                <w:rFonts w:ascii="Calibri" w:eastAsia="Times New Roman" w:hAnsi="Calibri" w:cs="Calibri"/>
                <w:color w:val="000000"/>
                <w:kern w:val="0"/>
                <w:sz w:val="24"/>
                <w:szCs w:val="24"/>
                <w:lang w:eastAsia="en-IN"/>
                <w14:ligatures w14:val="none"/>
              </w:rPr>
              <w:t>Master Circular - Guarantees and Co-acceptances</w:t>
            </w:r>
          </w:p>
        </w:tc>
      </w:tr>
      <w:tr w:rsidR="004B4C86" w:rsidRPr="004B4C86" w14:paraId="7C55B509" w14:textId="77777777" w:rsidTr="00D8008D">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0AC04A0" w14:textId="3A0A4CBD" w:rsidR="004B4C86" w:rsidRPr="00D8008D" w:rsidRDefault="004B4C86" w:rsidP="00D8008D">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323A2978" w14:textId="77777777" w:rsidR="004B4C86" w:rsidRPr="004B4C86" w:rsidRDefault="004B4C86" w:rsidP="004B4C86">
            <w:pPr>
              <w:spacing w:after="0" w:line="240" w:lineRule="auto"/>
              <w:rPr>
                <w:rFonts w:ascii="Calibri" w:eastAsia="Times New Roman" w:hAnsi="Calibri" w:cs="Calibri"/>
                <w:color w:val="000000"/>
                <w:kern w:val="0"/>
                <w:sz w:val="24"/>
                <w:szCs w:val="24"/>
                <w:lang w:eastAsia="en-IN"/>
                <w14:ligatures w14:val="none"/>
              </w:rPr>
            </w:pPr>
            <w:r w:rsidRPr="004B4C86">
              <w:rPr>
                <w:rFonts w:ascii="Calibri" w:eastAsia="Times New Roman" w:hAnsi="Calibri" w:cs="Calibri"/>
                <w:color w:val="000000"/>
                <w:kern w:val="0"/>
                <w:sz w:val="24"/>
                <w:szCs w:val="24"/>
                <w:lang w:eastAsia="en-IN"/>
                <w14:ligatures w14:val="none"/>
              </w:rPr>
              <w:t>Master Circular - Prudential norms on Income Recognition, Asset Classification and Provisioning pertaining to Advances</w:t>
            </w:r>
          </w:p>
        </w:tc>
      </w:tr>
      <w:tr w:rsidR="004B4C86" w:rsidRPr="004B4C86" w14:paraId="2D8CC8FD" w14:textId="77777777" w:rsidTr="00D8008D">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F0F0F4E" w14:textId="382EB505" w:rsidR="004B4C86" w:rsidRPr="00D8008D" w:rsidRDefault="004B4C86" w:rsidP="00D8008D">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7FCB190B" w14:textId="77777777" w:rsidR="004B4C86" w:rsidRPr="004B4C86" w:rsidRDefault="004B4C86" w:rsidP="004B4C86">
            <w:pPr>
              <w:spacing w:after="0" w:line="240" w:lineRule="auto"/>
              <w:rPr>
                <w:rFonts w:ascii="Calibri" w:eastAsia="Times New Roman" w:hAnsi="Calibri" w:cs="Calibri"/>
                <w:color w:val="000000"/>
                <w:kern w:val="0"/>
                <w:sz w:val="24"/>
                <w:szCs w:val="24"/>
                <w:lang w:eastAsia="en-IN"/>
                <w14:ligatures w14:val="none"/>
              </w:rPr>
            </w:pPr>
            <w:r w:rsidRPr="004B4C86">
              <w:rPr>
                <w:rFonts w:ascii="Calibri" w:eastAsia="Times New Roman" w:hAnsi="Calibri" w:cs="Calibri"/>
                <w:color w:val="000000"/>
                <w:kern w:val="0"/>
                <w:sz w:val="24"/>
                <w:szCs w:val="24"/>
                <w:lang w:eastAsia="en-IN"/>
                <w14:ligatures w14:val="none"/>
              </w:rPr>
              <w:t>Framework for acceptance of Green Deposits</w:t>
            </w:r>
          </w:p>
        </w:tc>
      </w:tr>
      <w:tr w:rsidR="004B4C86" w:rsidRPr="004B4C86" w14:paraId="2855CACC" w14:textId="77777777" w:rsidTr="00D8008D">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D074D7B" w14:textId="72E349CB" w:rsidR="004B4C86" w:rsidRPr="00D8008D" w:rsidRDefault="004B4C86" w:rsidP="00D8008D">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6C342AAB" w14:textId="77777777" w:rsidR="004B4C86" w:rsidRPr="004B4C86" w:rsidRDefault="004B4C86" w:rsidP="004B4C86">
            <w:pPr>
              <w:spacing w:after="0" w:line="240" w:lineRule="auto"/>
              <w:rPr>
                <w:rFonts w:ascii="Calibri" w:eastAsia="Times New Roman" w:hAnsi="Calibri" w:cs="Calibri"/>
                <w:color w:val="000000"/>
                <w:kern w:val="0"/>
                <w:sz w:val="24"/>
                <w:szCs w:val="24"/>
                <w:lang w:eastAsia="en-IN"/>
                <w14:ligatures w14:val="none"/>
              </w:rPr>
            </w:pPr>
            <w:r w:rsidRPr="004B4C86">
              <w:rPr>
                <w:rFonts w:ascii="Calibri" w:eastAsia="Times New Roman" w:hAnsi="Calibri" w:cs="Calibri"/>
                <w:color w:val="000000"/>
                <w:kern w:val="0"/>
                <w:sz w:val="24"/>
                <w:szCs w:val="24"/>
                <w:lang w:eastAsia="en-IN"/>
                <w14:ligatures w14:val="none"/>
              </w:rPr>
              <w:t>Provisioning for standard assets by primary (Urban) co-operative banks - revised norms under four-tiered regulatory framework</w:t>
            </w:r>
          </w:p>
        </w:tc>
      </w:tr>
      <w:tr w:rsidR="004B4C86" w:rsidRPr="004B4C86" w14:paraId="09C08972" w14:textId="77777777" w:rsidTr="00D8008D">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E51C481" w14:textId="1492EDCE" w:rsidR="004B4C86" w:rsidRPr="00D8008D" w:rsidRDefault="004B4C86" w:rsidP="00D8008D">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21EC853F" w14:textId="77777777" w:rsidR="004B4C86" w:rsidRPr="004B4C86" w:rsidRDefault="004B4C86" w:rsidP="004B4C86">
            <w:pPr>
              <w:spacing w:after="0" w:line="240" w:lineRule="auto"/>
              <w:rPr>
                <w:rFonts w:ascii="Calibri" w:eastAsia="Times New Roman" w:hAnsi="Calibri" w:cs="Calibri"/>
                <w:color w:val="000000"/>
                <w:kern w:val="0"/>
                <w:sz w:val="24"/>
                <w:szCs w:val="24"/>
                <w:lang w:eastAsia="en-IN"/>
                <w14:ligatures w14:val="none"/>
              </w:rPr>
            </w:pPr>
            <w:r w:rsidRPr="004B4C86">
              <w:rPr>
                <w:rFonts w:ascii="Calibri" w:eastAsia="Times New Roman" w:hAnsi="Calibri" w:cs="Calibri"/>
                <w:color w:val="000000"/>
                <w:kern w:val="0"/>
                <w:sz w:val="24"/>
                <w:szCs w:val="24"/>
                <w:lang w:eastAsia="en-IN"/>
                <w14:ligatures w14:val="none"/>
              </w:rPr>
              <w:t>General Credit Card (GCC) Facility - Review</w:t>
            </w:r>
          </w:p>
        </w:tc>
      </w:tr>
      <w:tr w:rsidR="004B4C86" w:rsidRPr="004B4C86" w14:paraId="6E2B24C1" w14:textId="77777777" w:rsidTr="00D8008D">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A659FCC" w14:textId="63B9B174" w:rsidR="004B4C86" w:rsidRPr="00D8008D" w:rsidRDefault="004B4C86" w:rsidP="00D8008D">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67B03697" w14:textId="77777777" w:rsidR="004B4C86" w:rsidRPr="004B4C86" w:rsidRDefault="004B4C86" w:rsidP="004B4C86">
            <w:pPr>
              <w:spacing w:after="0" w:line="240" w:lineRule="auto"/>
              <w:rPr>
                <w:rFonts w:ascii="Calibri" w:eastAsia="Times New Roman" w:hAnsi="Calibri" w:cs="Calibri"/>
                <w:color w:val="000000"/>
                <w:kern w:val="0"/>
                <w:sz w:val="24"/>
                <w:szCs w:val="24"/>
                <w:lang w:eastAsia="en-IN"/>
                <w14:ligatures w14:val="none"/>
              </w:rPr>
            </w:pPr>
            <w:r w:rsidRPr="004B4C86">
              <w:rPr>
                <w:rFonts w:ascii="Calibri" w:eastAsia="Times New Roman" w:hAnsi="Calibri" w:cs="Calibri"/>
                <w:color w:val="000000"/>
                <w:kern w:val="0"/>
                <w:sz w:val="24"/>
                <w:szCs w:val="24"/>
                <w:lang w:eastAsia="en-IN"/>
                <w14:ligatures w14:val="none"/>
              </w:rPr>
              <w:t xml:space="preserve">Master Circular - </w:t>
            </w:r>
            <w:proofErr w:type="spellStart"/>
            <w:r w:rsidRPr="004B4C86">
              <w:rPr>
                <w:rFonts w:ascii="Calibri" w:eastAsia="Times New Roman" w:hAnsi="Calibri" w:cs="Calibri"/>
                <w:color w:val="000000"/>
                <w:kern w:val="0"/>
                <w:sz w:val="24"/>
                <w:szCs w:val="24"/>
                <w:lang w:eastAsia="en-IN"/>
                <w14:ligatures w14:val="none"/>
              </w:rPr>
              <w:t>Deendayal</w:t>
            </w:r>
            <w:proofErr w:type="spellEnd"/>
            <w:r w:rsidRPr="004B4C86">
              <w:rPr>
                <w:rFonts w:ascii="Calibri" w:eastAsia="Times New Roman" w:hAnsi="Calibri" w:cs="Calibri"/>
                <w:color w:val="000000"/>
                <w:kern w:val="0"/>
                <w:sz w:val="24"/>
                <w:szCs w:val="24"/>
                <w:lang w:eastAsia="en-IN"/>
                <w14:ligatures w14:val="none"/>
              </w:rPr>
              <w:t xml:space="preserve"> </w:t>
            </w:r>
            <w:proofErr w:type="spellStart"/>
            <w:r w:rsidRPr="004B4C86">
              <w:rPr>
                <w:rFonts w:ascii="Calibri" w:eastAsia="Times New Roman" w:hAnsi="Calibri" w:cs="Calibri"/>
                <w:color w:val="000000"/>
                <w:kern w:val="0"/>
                <w:sz w:val="24"/>
                <w:szCs w:val="24"/>
                <w:lang w:eastAsia="en-IN"/>
                <w14:ligatures w14:val="none"/>
              </w:rPr>
              <w:t>Antyodaya</w:t>
            </w:r>
            <w:proofErr w:type="spellEnd"/>
            <w:r w:rsidRPr="004B4C86">
              <w:rPr>
                <w:rFonts w:ascii="Calibri" w:eastAsia="Times New Roman" w:hAnsi="Calibri" w:cs="Calibri"/>
                <w:color w:val="000000"/>
                <w:kern w:val="0"/>
                <w:sz w:val="24"/>
                <w:szCs w:val="24"/>
                <w:lang w:eastAsia="en-IN"/>
                <w14:ligatures w14:val="none"/>
              </w:rPr>
              <w:t xml:space="preserve"> </w:t>
            </w:r>
            <w:proofErr w:type="spellStart"/>
            <w:r w:rsidRPr="004B4C86">
              <w:rPr>
                <w:rFonts w:ascii="Calibri" w:eastAsia="Times New Roman" w:hAnsi="Calibri" w:cs="Calibri"/>
                <w:color w:val="000000"/>
                <w:kern w:val="0"/>
                <w:sz w:val="24"/>
                <w:szCs w:val="24"/>
                <w:lang w:eastAsia="en-IN"/>
                <w14:ligatures w14:val="none"/>
              </w:rPr>
              <w:t>Yojana</w:t>
            </w:r>
            <w:proofErr w:type="spellEnd"/>
            <w:r w:rsidRPr="004B4C86">
              <w:rPr>
                <w:rFonts w:ascii="Calibri" w:eastAsia="Times New Roman" w:hAnsi="Calibri" w:cs="Calibri"/>
                <w:color w:val="000000"/>
                <w:kern w:val="0"/>
                <w:sz w:val="24"/>
                <w:szCs w:val="24"/>
                <w:lang w:eastAsia="en-IN"/>
                <w14:ligatures w14:val="none"/>
              </w:rPr>
              <w:t xml:space="preserve"> - National Rural Livelihoods Mission (DAY-NRLM)</w:t>
            </w:r>
          </w:p>
        </w:tc>
      </w:tr>
      <w:tr w:rsidR="004B4C86" w:rsidRPr="004B4C86" w14:paraId="6E071797" w14:textId="77777777" w:rsidTr="00D8008D">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82E0185" w14:textId="65D9A321" w:rsidR="004B4C86" w:rsidRPr="00D8008D" w:rsidRDefault="004B4C86" w:rsidP="00D8008D">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67FCF31A" w14:textId="0C2A28EF" w:rsidR="004B4C86" w:rsidRPr="004B4C86" w:rsidRDefault="004B4C86" w:rsidP="004B4C86">
            <w:pPr>
              <w:spacing w:after="0" w:line="240" w:lineRule="auto"/>
              <w:rPr>
                <w:rFonts w:ascii="Calibri" w:eastAsia="Times New Roman" w:hAnsi="Calibri" w:cs="Calibri"/>
                <w:color w:val="000000"/>
                <w:kern w:val="0"/>
                <w:sz w:val="24"/>
                <w:szCs w:val="24"/>
                <w:lang w:eastAsia="en-IN"/>
                <w14:ligatures w14:val="none"/>
              </w:rPr>
            </w:pPr>
            <w:r w:rsidRPr="004B4C86">
              <w:rPr>
                <w:rFonts w:ascii="Calibri" w:eastAsia="Times New Roman" w:hAnsi="Calibri" w:cs="Calibri"/>
                <w:color w:val="000000"/>
                <w:kern w:val="0"/>
                <w:sz w:val="24"/>
                <w:szCs w:val="24"/>
                <w:lang w:eastAsia="en-IN"/>
                <w14:ligatures w14:val="none"/>
              </w:rPr>
              <w:t xml:space="preserve">Master Circular - Income Recognition, Asset Classification, Provisioning and Other Related Matters </w:t>
            </w:r>
            <w:r w:rsidR="00C80CC7">
              <w:rPr>
                <w:rFonts w:ascii="Calibri" w:eastAsia="Times New Roman" w:hAnsi="Calibri" w:cs="Calibri"/>
                <w:color w:val="000000"/>
                <w:kern w:val="0"/>
                <w:sz w:val="24"/>
                <w:szCs w:val="24"/>
                <w:lang w:eastAsia="en-IN"/>
                <w14:ligatures w14:val="none"/>
              </w:rPr>
              <w:t>–</w:t>
            </w:r>
            <w:r w:rsidRPr="004B4C86">
              <w:rPr>
                <w:rFonts w:ascii="Calibri" w:eastAsia="Times New Roman" w:hAnsi="Calibri" w:cs="Calibri"/>
                <w:color w:val="000000"/>
                <w:kern w:val="0"/>
                <w:sz w:val="24"/>
                <w:szCs w:val="24"/>
                <w:lang w:eastAsia="en-IN"/>
                <w14:ligatures w14:val="none"/>
              </w:rPr>
              <w:t xml:space="preserve"> UCBs</w:t>
            </w:r>
          </w:p>
        </w:tc>
      </w:tr>
      <w:tr w:rsidR="004B4C86" w:rsidRPr="004B4C86" w14:paraId="0D43A1BD" w14:textId="77777777" w:rsidTr="00D8008D">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120F252" w14:textId="695409B8" w:rsidR="004B4C86" w:rsidRPr="00D8008D" w:rsidRDefault="004B4C86" w:rsidP="00D8008D">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07FCEE03" w14:textId="77777777" w:rsidR="004B4C86" w:rsidRPr="004B4C86" w:rsidRDefault="004B4C86" w:rsidP="004B4C86">
            <w:pPr>
              <w:spacing w:after="0" w:line="240" w:lineRule="auto"/>
              <w:rPr>
                <w:rFonts w:ascii="Calibri" w:eastAsia="Times New Roman" w:hAnsi="Calibri" w:cs="Calibri"/>
                <w:color w:val="000000"/>
                <w:kern w:val="0"/>
                <w:sz w:val="24"/>
                <w:szCs w:val="24"/>
                <w:lang w:eastAsia="en-IN"/>
                <w14:ligatures w14:val="none"/>
              </w:rPr>
            </w:pPr>
            <w:r w:rsidRPr="004B4C86">
              <w:rPr>
                <w:rFonts w:ascii="Calibri" w:eastAsia="Times New Roman" w:hAnsi="Calibri" w:cs="Calibri"/>
                <w:color w:val="000000"/>
                <w:kern w:val="0"/>
                <w:sz w:val="24"/>
                <w:szCs w:val="24"/>
                <w:lang w:eastAsia="en-IN"/>
                <w14:ligatures w14:val="none"/>
              </w:rPr>
              <w:t>Formalisation of Informal Micro Enterprises on Udyam Assist Platform</w:t>
            </w:r>
          </w:p>
        </w:tc>
      </w:tr>
      <w:tr w:rsidR="004B4C86" w:rsidRPr="004B4C86" w14:paraId="25E53093" w14:textId="77777777" w:rsidTr="00D8008D">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6A08F6C" w14:textId="5805C4CA" w:rsidR="004B4C86" w:rsidRPr="00D8008D" w:rsidRDefault="004B4C86" w:rsidP="00D8008D">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08AB122E" w14:textId="77777777" w:rsidR="004B4C86" w:rsidRPr="004B4C86" w:rsidRDefault="004B4C86" w:rsidP="004B4C86">
            <w:pPr>
              <w:spacing w:after="0" w:line="240" w:lineRule="auto"/>
              <w:rPr>
                <w:rFonts w:ascii="Calibri" w:eastAsia="Times New Roman" w:hAnsi="Calibri" w:cs="Calibri"/>
                <w:color w:val="000000"/>
                <w:kern w:val="0"/>
                <w:sz w:val="24"/>
                <w:szCs w:val="24"/>
                <w:lang w:eastAsia="en-IN"/>
                <w14:ligatures w14:val="none"/>
              </w:rPr>
            </w:pPr>
            <w:r w:rsidRPr="004B4C86">
              <w:rPr>
                <w:rFonts w:ascii="Calibri" w:eastAsia="Times New Roman" w:hAnsi="Calibri" w:cs="Calibri"/>
                <w:color w:val="000000"/>
                <w:kern w:val="0"/>
                <w:sz w:val="24"/>
                <w:szCs w:val="24"/>
                <w:lang w:eastAsia="en-IN"/>
                <w14:ligatures w14:val="none"/>
              </w:rPr>
              <w:t>Expanding the Scope of Trade Receivables Discounting System</w:t>
            </w:r>
          </w:p>
        </w:tc>
      </w:tr>
      <w:tr w:rsidR="00511F0D" w:rsidRPr="004B4C86" w14:paraId="6F20B14B" w14:textId="77777777" w:rsidTr="00D8008D">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6D01F8F" w14:textId="7FE9AE0A" w:rsidR="00511F0D" w:rsidRDefault="00511F0D" w:rsidP="00511F0D">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10</w:t>
            </w:r>
          </w:p>
        </w:tc>
        <w:tc>
          <w:tcPr>
            <w:tcW w:w="9923" w:type="dxa"/>
            <w:tcBorders>
              <w:top w:val="nil"/>
              <w:left w:val="nil"/>
              <w:bottom w:val="single" w:sz="4" w:space="0" w:color="auto"/>
              <w:right w:val="single" w:sz="4" w:space="0" w:color="auto"/>
            </w:tcBorders>
            <w:shd w:val="clear" w:color="auto" w:fill="auto"/>
            <w:vAlign w:val="bottom"/>
          </w:tcPr>
          <w:p w14:paraId="39578F49" w14:textId="42C6B3BD" w:rsidR="00511F0D" w:rsidRPr="004B4C86" w:rsidRDefault="00511F0D" w:rsidP="00511F0D">
            <w:pPr>
              <w:spacing w:after="0" w:line="240" w:lineRule="auto"/>
              <w:rPr>
                <w:rFonts w:ascii="Calibri" w:eastAsia="Times New Roman" w:hAnsi="Calibri" w:cs="Calibri"/>
                <w:color w:val="000000"/>
                <w:kern w:val="0"/>
                <w:sz w:val="24"/>
                <w:szCs w:val="24"/>
                <w:lang w:eastAsia="en-IN"/>
                <w14:ligatures w14:val="none"/>
              </w:rPr>
            </w:pPr>
            <w:r w:rsidRPr="004B4C86">
              <w:rPr>
                <w:rFonts w:ascii="Calibri" w:eastAsia="Times New Roman" w:hAnsi="Calibri" w:cs="Calibri"/>
                <w:color w:val="000000"/>
                <w:kern w:val="0"/>
                <w:sz w:val="24"/>
                <w:szCs w:val="24"/>
                <w:lang w:eastAsia="en-IN"/>
                <w14:ligatures w14:val="none"/>
              </w:rPr>
              <w:t>Framework for Compromise Settlements and Technical Write-offs</w:t>
            </w:r>
          </w:p>
        </w:tc>
      </w:tr>
      <w:tr w:rsidR="00511F0D" w:rsidRPr="004B4C86" w14:paraId="54DCFA84" w14:textId="77777777" w:rsidTr="0023185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BB66BF6" w14:textId="3894098E" w:rsidR="00511F0D" w:rsidRDefault="00511F0D" w:rsidP="00511F0D">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11</w:t>
            </w:r>
          </w:p>
        </w:tc>
        <w:tc>
          <w:tcPr>
            <w:tcW w:w="9923" w:type="dxa"/>
            <w:tcBorders>
              <w:top w:val="nil"/>
              <w:left w:val="nil"/>
              <w:bottom w:val="single" w:sz="4" w:space="0" w:color="auto"/>
              <w:right w:val="single" w:sz="4" w:space="0" w:color="auto"/>
            </w:tcBorders>
            <w:shd w:val="clear" w:color="auto" w:fill="auto"/>
            <w:vAlign w:val="center"/>
          </w:tcPr>
          <w:p w14:paraId="3058AC76" w14:textId="2F64619B" w:rsidR="00511F0D" w:rsidRPr="004B4C86" w:rsidRDefault="00511F0D" w:rsidP="00511F0D">
            <w:pPr>
              <w:spacing w:after="0" w:line="240" w:lineRule="auto"/>
              <w:rPr>
                <w:rFonts w:ascii="Calibri" w:eastAsia="Times New Roman" w:hAnsi="Calibri" w:cs="Calibri"/>
                <w:color w:val="000000"/>
                <w:kern w:val="0"/>
                <w:sz w:val="24"/>
                <w:szCs w:val="24"/>
                <w:lang w:eastAsia="en-IN"/>
                <w14:ligatures w14:val="none"/>
              </w:rPr>
            </w:pPr>
            <w:r w:rsidRPr="00A256D5">
              <w:rPr>
                <w:rFonts w:eastAsia="Times New Roman" w:cstheme="minorHAnsi"/>
                <w:color w:val="000000"/>
                <w:kern w:val="0"/>
                <w:sz w:val="24"/>
                <w:szCs w:val="24"/>
                <w:lang w:eastAsia="en-IN"/>
                <w14:ligatures w14:val="none"/>
              </w:rPr>
              <w:t>Increase in ceiling of coverage from `200 lakh to `500 lakh – CGS I under CGTMSE</w:t>
            </w:r>
          </w:p>
        </w:tc>
      </w:tr>
      <w:tr w:rsidR="00A818B8" w:rsidRPr="004B4C86" w14:paraId="7A057379" w14:textId="77777777" w:rsidTr="0023185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81E63D5" w14:textId="652F1A56" w:rsidR="00A818B8" w:rsidRDefault="00A818B8" w:rsidP="00A818B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12</w:t>
            </w:r>
          </w:p>
        </w:tc>
        <w:tc>
          <w:tcPr>
            <w:tcW w:w="9923" w:type="dxa"/>
            <w:tcBorders>
              <w:top w:val="nil"/>
              <w:left w:val="nil"/>
              <w:bottom w:val="single" w:sz="4" w:space="0" w:color="auto"/>
              <w:right w:val="single" w:sz="4" w:space="0" w:color="auto"/>
            </w:tcBorders>
            <w:shd w:val="clear" w:color="auto" w:fill="auto"/>
            <w:vAlign w:val="center"/>
          </w:tcPr>
          <w:p w14:paraId="00E8B21B" w14:textId="5B124449" w:rsidR="00A818B8" w:rsidRPr="000D197A" w:rsidRDefault="00A818B8" w:rsidP="00A818B8">
            <w:pPr>
              <w:spacing w:after="0" w:line="240" w:lineRule="auto"/>
              <w:rPr>
                <w:rFonts w:eastAsia="Times New Roman" w:cstheme="minorHAnsi"/>
                <w:color w:val="000000"/>
                <w:kern w:val="0"/>
                <w:sz w:val="24"/>
                <w:szCs w:val="24"/>
                <w:lang w:eastAsia="en-IN"/>
                <w14:ligatures w14:val="none"/>
              </w:rPr>
            </w:pPr>
            <w:proofErr w:type="spellStart"/>
            <w:r w:rsidRPr="000D197A">
              <w:rPr>
                <w:rFonts w:eastAsia="Times New Roman" w:cstheme="minorHAnsi"/>
                <w:color w:val="000000"/>
                <w:kern w:val="0"/>
                <w:sz w:val="24"/>
                <w:szCs w:val="24"/>
                <w:lang w:eastAsia="en-IN"/>
                <w14:ligatures w14:val="none"/>
              </w:rPr>
              <w:t>Udyam</w:t>
            </w:r>
            <w:proofErr w:type="spellEnd"/>
            <w:r w:rsidRPr="000D197A">
              <w:rPr>
                <w:rFonts w:eastAsia="Times New Roman" w:cstheme="minorHAnsi"/>
                <w:color w:val="000000"/>
                <w:kern w:val="0"/>
                <w:sz w:val="24"/>
                <w:szCs w:val="24"/>
                <w:lang w:eastAsia="en-IN"/>
                <w14:ligatures w14:val="none"/>
              </w:rPr>
              <w:t xml:space="preserve"> Registration Number Mandatory for Guarantee Coverage</w:t>
            </w:r>
          </w:p>
        </w:tc>
      </w:tr>
      <w:tr w:rsidR="00A818B8" w:rsidRPr="004B4C86" w14:paraId="7D288D77" w14:textId="77777777" w:rsidTr="00231852">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4854447" w14:textId="040C4746" w:rsidR="00A818B8" w:rsidRPr="00D8008D" w:rsidRDefault="00A818B8" w:rsidP="00A818B8">
            <w:pPr>
              <w:spacing w:after="0" w:line="240" w:lineRule="auto"/>
              <w:jc w:val="center"/>
              <w:rPr>
                <w:rFonts w:ascii="Calibri" w:eastAsia="Times New Roman" w:hAnsi="Calibri" w:cs="Calibri"/>
                <w:color w:val="000000"/>
                <w:kern w:val="0"/>
                <w:sz w:val="24"/>
                <w:szCs w:val="24"/>
                <w:lang w:eastAsia="en-IN"/>
                <w14:ligatures w14:val="none"/>
              </w:rPr>
            </w:pPr>
            <w:r>
              <w:rPr>
                <w:rFonts w:ascii="Calibri" w:eastAsia="Times New Roman" w:hAnsi="Calibri" w:cs="Calibri"/>
                <w:color w:val="000000"/>
                <w:kern w:val="0"/>
                <w:sz w:val="24"/>
                <w:szCs w:val="24"/>
                <w:lang w:eastAsia="en-IN"/>
                <w14:ligatures w14:val="none"/>
              </w:rPr>
              <w:t>13</w:t>
            </w:r>
          </w:p>
        </w:tc>
        <w:tc>
          <w:tcPr>
            <w:tcW w:w="9923" w:type="dxa"/>
            <w:tcBorders>
              <w:top w:val="nil"/>
              <w:left w:val="nil"/>
              <w:bottom w:val="single" w:sz="4" w:space="0" w:color="auto"/>
              <w:right w:val="single" w:sz="4" w:space="0" w:color="auto"/>
            </w:tcBorders>
            <w:shd w:val="clear" w:color="auto" w:fill="auto"/>
            <w:vAlign w:val="center"/>
          </w:tcPr>
          <w:p w14:paraId="67993F91" w14:textId="3560146C" w:rsidR="00A818B8" w:rsidRPr="004B4C86" w:rsidRDefault="00A818B8" w:rsidP="00A818B8">
            <w:pPr>
              <w:spacing w:after="0" w:line="240" w:lineRule="auto"/>
              <w:rPr>
                <w:rFonts w:ascii="Calibri" w:eastAsia="Times New Roman" w:hAnsi="Calibri" w:cs="Calibri"/>
                <w:color w:val="000000"/>
                <w:kern w:val="0"/>
                <w:sz w:val="24"/>
                <w:szCs w:val="24"/>
                <w:lang w:eastAsia="en-IN"/>
                <w14:ligatures w14:val="none"/>
              </w:rPr>
            </w:pPr>
            <w:r w:rsidRPr="001B278D">
              <w:rPr>
                <w:rFonts w:eastAsia="Times New Roman" w:cstheme="minorHAnsi"/>
                <w:color w:val="000000"/>
                <w:kern w:val="0"/>
                <w:sz w:val="24"/>
                <w:szCs w:val="24"/>
                <w:lang w:eastAsia="en-IN"/>
                <w14:ligatures w14:val="none"/>
              </w:rPr>
              <w:t>MSME Champions Scheme (Erstwhile CLCS-TUS)</w:t>
            </w:r>
          </w:p>
        </w:tc>
      </w:tr>
    </w:tbl>
    <w:p w14:paraId="77C5AE7A" w14:textId="77777777" w:rsidR="004B4C86" w:rsidRDefault="004B4C86" w:rsidP="004B4C86">
      <w:pPr>
        <w:rPr>
          <w:b/>
          <w:bCs/>
          <w:lang w:val="en-US"/>
        </w:rPr>
      </w:pPr>
    </w:p>
    <w:p w14:paraId="19E50F82" w14:textId="77777777" w:rsidR="001173E0" w:rsidRDefault="001173E0" w:rsidP="004B4C86">
      <w:pPr>
        <w:rPr>
          <w:b/>
          <w:bCs/>
          <w:lang w:val="en-US"/>
        </w:rPr>
      </w:pPr>
    </w:p>
    <w:p w14:paraId="62163FD7" w14:textId="77777777" w:rsidR="001173E0" w:rsidRDefault="001173E0" w:rsidP="004B4C86">
      <w:pPr>
        <w:rPr>
          <w:b/>
          <w:bCs/>
          <w:lang w:val="en-US"/>
        </w:rPr>
      </w:pPr>
    </w:p>
    <w:p w14:paraId="1F66732E" w14:textId="77777777" w:rsidR="001173E0" w:rsidRDefault="001173E0" w:rsidP="004B4C86">
      <w:pPr>
        <w:rPr>
          <w:b/>
          <w:bCs/>
          <w:lang w:val="en-US"/>
        </w:rPr>
      </w:pPr>
    </w:p>
    <w:p w14:paraId="7195208C" w14:textId="77777777" w:rsidR="001173E0" w:rsidRDefault="001173E0" w:rsidP="004B4C86">
      <w:pPr>
        <w:rPr>
          <w:b/>
          <w:bCs/>
          <w:lang w:val="en-US"/>
        </w:rPr>
      </w:pPr>
    </w:p>
    <w:p w14:paraId="24BF1042" w14:textId="77777777" w:rsidR="001173E0" w:rsidRDefault="001173E0" w:rsidP="004B4C86">
      <w:pPr>
        <w:rPr>
          <w:b/>
          <w:bCs/>
          <w:lang w:val="en-US"/>
        </w:rPr>
      </w:pPr>
    </w:p>
    <w:p w14:paraId="29819CEC" w14:textId="77777777" w:rsidR="001173E0" w:rsidRDefault="001173E0" w:rsidP="004B4C86">
      <w:pPr>
        <w:rPr>
          <w:b/>
          <w:bCs/>
          <w:lang w:val="en-US"/>
        </w:rPr>
      </w:pPr>
    </w:p>
    <w:p w14:paraId="4CD4C630" w14:textId="77777777" w:rsidR="001173E0" w:rsidRDefault="001173E0" w:rsidP="004B4C86">
      <w:pPr>
        <w:rPr>
          <w:b/>
          <w:bCs/>
          <w:lang w:val="en-US"/>
        </w:rPr>
      </w:pPr>
    </w:p>
    <w:p w14:paraId="104FD2AC" w14:textId="77777777" w:rsidR="001173E0" w:rsidRDefault="001173E0" w:rsidP="004B4C86">
      <w:pPr>
        <w:rPr>
          <w:b/>
          <w:bCs/>
          <w:lang w:val="en-US"/>
        </w:rPr>
      </w:pPr>
    </w:p>
    <w:p w14:paraId="1A1F374C" w14:textId="77777777" w:rsidR="001173E0" w:rsidRDefault="001173E0" w:rsidP="004B4C86">
      <w:pPr>
        <w:rPr>
          <w:b/>
          <w:bCs/>
          <w:lang w:val="en-US"/>
        </w:rPr>
      </w:pPr>
    </w:p>
    <w:p w14:paraId="219BF686" w14:textId="77777777" w:rsidR="001173E0" w:rsidRDefault="001173E0" w:rsidP="004B4C86">
      <w:pPr>
        <w:rPr>
          <w:b/>
          <w:bCs/>
          <w:lang w:val="en-US"/>
        </w:rPr>
      </w:pPr>
    </w:p>
    <w:p w14:paraId="66B4D314" w14:textId="77777777" w:rsidR="001173E0" w:rsidRDefault="001173E0" w:rsidP="004B4C86">
      <w:pPr>
        <w:rPr>
          <w:b/>
          <w:bCs/>
          <w:lang w:val="en-US"/>
        </w:rPr>
      </w:pPr>
    </w:p>
    <w:p w14:paraId="5F192BD1" w14:textId="77777777" w:rsidR="001173E0" w:rsidRDefault="001173E0" w:rsidP="004B4C86">
      <w:pPr>
        <w:rPr>
          <w:b/>
          <w:bCs/>
          <w:lang w:val="en-US"/>
        </w:rPr>
      </w:pPr>
    </w:p>
    <w:p w14:paraId="615821FD" w14:textId="77777777" w:rsidR="001173E0" w:rsidRDefault="001173E0" w:rsidP="004B4C86">
      <w:pPr>
        <w:rPr>
          <w:b/>
          <w:bCs/>
          <w:lang w:val="en-US"/>
        </w:rPr>
      </w:pPr>
    </w:p>
    <w:p w14:paraId="254EBE13" w14:textId="77777777" w:rsidR="001173E0" w:rsidRDefault="001173E0" w:rsidP="004B4C86">
      <w:pPr>
        <w:rPr>
          <w:b/>
          <w:bCs/>
          <w:lang w:val="en-US"/>
        </w:rPr>
      </w:pPr>
    </w:p>
    <w:p w14:paraId="73006717" w14:textId="77777777" w:rsidR="001173E0" w:rsidRDefault="001173E0" w:rsidP="004B4C86">
      <w:pPr>
        <w:rPr>
          <w:b/>
          <w:bCs/>
          <w:lang w:val="en-US"/>
        </w:rPr>
      </w:pPr>
    </w:p>
    <w:p w14:paraId="4F52A07E" w14:textId="77777777" w:rsidR="001173E0" w:rsidRDefault="001173E0" w:rsidP="004B4C86">
      <w:pPr>
        <w:rPr>
          <w:b/>
          <w:bCs/>
          <w:lang w:val="en-US"/>
        </w:rPr>
      </w:pPr>
    </w:p>
    <w:p w14:paraId="5310EBD8" w14:textId="77777777" w:rsidR="001173E0" w:rsidRDefault="001173E0" w:rsidP="004B4C86">
      <w:pPr>
        <w:rPr>
          <w:b/>
          <w:bCs/>
          <w:lang w:val="en-US"/>
        </w:rPr>
      </w:pPr>
    </w:p>
    <w:p w14:paraId="3E10272E" w14:textId="77777777" w:rsidR="001173E0" w:rsidRDefault="001173E0" w:rsidP="004B4C86">
      <w:pPr>
        <w:rPr>
          <w:b/>
          <w:bCs/>
          <w:lang w:val="en-US"/>
        </w:rPr>
      </w:pPr>
    </w:p>
    <w:p w14:paraId="1D833459" w14:textId="77777777" w:rsidR="001173E0" w:rsidRDefault="001173E0" w:rsidP="004B4C86">
      <w:pPr>
        <w:rPr>
          <w:b/>
          <w:bCs/>
          <w:lang w:val="en-US"/>
        </w:rPr>
      </w:pPr>
    </w:p>
    <w:p w14:paraId="29F106BF" w14:textId="77777777" w:rsidR="001173E0" w:rsidRDefault="001173E0" w:rsidP="004B4C86">
      <w:pPr>
        <w:rPr>
          <w:b/>
          <w:bCs/>
          <w:lang w:val="en-US"/>
        </w:rPr>
      </w:pPr>
    </w:p>
    <w:p w14:paraId="045B450A" w14:textId="77777777" w:rsidR="001173E0" w:rsidRDefault="001173E0" w:rsidP="001173E0">
      <w:pPr>
        <w:pStyle w:val="NormalWeb"/>
        <w:rPr>
          <w:rFonts w:ascii="Arial" w:hAnsi="Arial" w:cs="Arial"/>
          <w:b/>
          <w:bCs/>
          <w:color w:val="000000"/>
          <w:sz w:val="20"/>
          <w:szCs w:val="20"/>
        </w:rPr>
      </w:pPr>
      <w:bookmarkStart w:id="1" w:name="OLE_LINK40"/>
      <w:bookmarkStart w:id="2" w:name="_Hlk141825054"/>
      <w:r>
        <w:rPr>
          <w:rFonts w:ascii="Arial" w:hAnsi="Arial" w:cs="Arial"/>
          <w:b/>
          <w:bCs/>
          <w:color w:val="000000"/>
          <w:sz w:val="20"/>
          <w:szCs w:val="20"/>
        </w:rPr>
        <w:t>Master Circular - Guarantees and Co-acceptances</w:t>
      </w:r>
    </w:p>
    <w:bookmarkEnd w:id="1"/>
    <w:p w14:paraId="3C743DF7"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RBI/2023-24/04</w:t>
      </w:r>
      <w:r>
        <w:rPr>
          <w:rFonts w:ascii="Arial" w:hAnsi="Arial" w:cs="Arial"/>
          <w:color w:val="000000"/>
          <w:sz w:val="20"/>
          <w:szCs w:val="20"/>
        </w:rPr>
        <w:br/>
        <w:t>DOR.STR.REC.5/13.07.010/2023-24</w:t>
      </w:r>
    </w:p>
    <w:p w14:paraId="527A0273" w14:textId="77777777" w:rsidR="001173E0" w:rsidRDefault="001173E0" w:rsidP="001173E0">
      <w:pPr>
        <w:pStyle w:val="NormalWeb"/>
        <w:jc w:val="right"/>
        <w:rPr>
          <w:rFonts w:ascii="Arial" w:hAnsi="Arial" w:cs="Arial"/>
          <w:color w:val="000000"/>
          <w:sz w:val="20"/>
          <w:szCs w:val="20"/>
        </w:rPr>
      </w:pPr>
      <w:r>
        <w:rPr>
          <w:rFonts w:ascii="Arial" w:hAnsi="Arial" w:cs="Arial"/>
          <w:color w:val="000000"/>
          <w:sz w:val="20"/>
          <w:szCs w:val="20"/>
        </w:rPr>
        <w:t>April 1, 2023</w:t>
      </w:r>
    </w:p>
    <w:p w14:paraId="2DBCC7D3" w14:textId="77777777" w:rsidR="001173E0" w:rsidRDefault="001173E0" w:rsidP="001173E0">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(excluding Payments Banks and RRBs)</w:t>
      </w:r>
    </w:p>
    <w:p w14:paraId="3E4ABF85"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Dear Sir / Madam</w:t>
      </w:r>
    </w:p>
    <w:p w14:paraId="54A2314C" w14:textId="77777777" w:rsidR="001173E0" w:rsidRDefault="001173E0" w:rsidP="001173E0">
      <w:pPr>
        <w:pStyle w:val="head"/>
        <w:jc w:val="both"/>
        <w:rPr>
          <w:rFonts w:ascii="Arial" w:hAnsi="Arial" w:cs="Arial"/>
          <w:b/>
          <w:bCs/>
          <w:color w:val="000000"/>
          <w:sz w:val="20"/>
          <w:szCs w:val="20"/>
        </w:rPr>
      </w:pPr>
      <w:r>
        <w:rPr>
          <w:rFonts w:ascii="Arial" w:hAnsi="Arial" w:cs="Arial"/>
          <w:b/>
          <w:bCs/>
          <w:color w:val="000000"/>
          <w:sz w:val="20"/>
          <w:szCs w:val="20"/>
        </w:rPr>
        <w:t>Master Circular - Guarantees and Co-acceptances</w:t>
      </w:r>
    </w:p>
    <w:p w14:paraId="6D4A2499"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5" w:tgtFrame="_blank" w:history="1">
        <w:r>
          <w:rPr>
            <w:rStyle w:val="Hyperlink"/>
            <w:rFonts w:ascii="Arial" w:hAnsi="Arial" w:cs="Arial"/>
            <w:sz w:val="20"/>
            <w:szCs w:val="20"/>
          </w:rPr>
          <w:t>Master Circular DOR.STR.REC.8/13.07.010/2022-23 dated April 1, 2022</w:t>
        </w:r>
      </w:hyperlink>
      <w:r>
        <w:rPr>
          <w:rFonts w:ascii="Arial" w:hAnsi="Arial" w:cs="Arial"/>
          <w:color w:val="000000"/>
          <w:sz w:val="20"/>
          <w:szCs w:val="20"/>
        </w:rPr>
        <w:t> consolidating the instructions / guidelines issued to banks till March 31, 2022, relating to Guarantees and Co-acceptances. This </w:t>
      </w:r>
      <w:hyperlink r:id="rId6" w:anchor="MC" w:history="1">
        <w:r>
          <w:rPr>
            <w:rStyle w:val="Hyperlink"/>
            <w:rFonts w:ascii="Arial" w:hAnsi="Arial" w:cs="Arial"/>
            <w:sz w:val="20"/>
            <w:szCs w:val="20"/>
          </w:rPr>
          <w:t>Master Circular</w:t>
        </w:r>
      </w:hyperlink>
      <w:r>
        <w:rPr>
          <w:rFonts w:ascii="Arial" w:hAnsi="Arial" w:cs="Arial"/>
          <w:color w:val="000000"/>
          <w:sz w:val="20"/>
          <w:szCs w:val="20"/>
        </w:rPr>
        <w:t> consolidates the instructions on the above matter issued up to March 31, 2023.</w:t>
      </w:r>
    </w:p>
    <w:p w14:paraId="506AE250"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Yours faithfully</w:t>
      </w:r>
    </w:p>
    <w:p w14:paraId="2F790416" w14:textId="77777777" w:rsidR="001173E0" w:rsidRDefault="001173E0" w:rsidP="001173E0">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509E7E7B" w14:textId="77777777" w:rsidR="001173E0" w:rsidRDefault="001173E0" w:rsidP="001173E0">
      <w:pPr>
        <w:pStyle w:val="NormalWeb"/>
        <w:rPr>
          <w:rFonts w:ascii="Arial" w:hAnsi="Arial" w:cs="Arial"/>
          <w:color w:val="000000"/>
          <w:sz w:val="20"/>
          <w:szCs w:val="20"/>
        </w:rPr>
      </w:pPr>
    </w:p>
    <w:p w14:paraId="6B672141" w14:textId="77777777" w:rsidR="001173E0" w:rsidRDefault="001173E0" w:rsidP="001173E0">
      <w:pPr>
        <w:pStyle w:val="NormalWeb"/>
        <w:rPr>
          <w:rFonts w:ascii="Arial" w:hAnsi="Arial" w:cs="Arial"/>
          <w:color w:val="000000"/>
          <w:sz w:val="20"/>
          <w:szCs w:val="20"/>
        </w:rPr>
      </w:pPr>
    </w:p>
    <w:p w14:paraId="6E739C04" w14:textId="77777777" w:rsidR="001173E0" w:rsidRDefault="001173E0" w:rsidP="001173E0">
      <w:r>
        <w:t>More details can be referred to in the below link.</w:t>
      </w:r>
    </w:p>
    <w:p w14:paraId="64354AC0" w14:textId="77777777" w:rsidR="001173E0" w:rsidRDefault="001173E0" w:rsidP="001173E0">
      <w:pPr>
        <w:pStyle w:val="NormalWeb"/>
        <w:rPr>
          <w:rFonts w:ascii="Arial" w:hAnsi="Arial" w:cs="Arial"/>
          <w:color w:val="000000"/>
          <w:sz w:val="20"/>
          <w:szCs w:val="20"/>
        </w:rPr>
      </w:pPr>
      <w:r>
        <w:rPr>
          <w:rFonts w:ascii="Arial" w:hAnsi="Arial" w:cs="Arial"/>
          <w:bCs/>
          <w:color w:val="000000"/>
          <w:sz w:val="20"/>
          <w:szCs w:val="20"/>
        </w:rPr>
        <w:t>Reference Link:</w:t>
      </w:r>
      <w:r>
        <w:rPr>
          <w:rFonts w:ascii="Arial" w:hAnsi="Arial" w:cs="Arial"/>
          <w:color w:val="000000"/>
          <w:sz w:val="20"/>
          <w:szCs w:val="20"/>
        </w:rPr>
        <w:t xml:space="preserve"> </w:t>
      </w:r>
      <w:hyperlink r:id="rId7" w:history="1">
        <w:r w:rsidRPr="005F425E">
          <w:rPr>
            <w:rStyle w:val="Hyperlink"/>
            <w:rFonts w:ascii="Arial" w:hAnsi="Arial" w:cs="Arial"/>
            <w:sz w:val="20"/>
            <w:szCs w:val="20"/>
          </w:rPr>
          <w:t>https://rbi.org.in/Scripts/NotificationUser.aspx?Id=12471&amp;Mode=0</w:t>
        </w:r>
      </w:hyperlink>
    </w:p>
    <w:p w14:paraId="6B8186FB" w14:textId="77777777" w:rsidR="001173E0" w:rsidRDefault="001173E0" w:rsidP="001173E0">
      <w:pPr>
        <w:pStyle w:val="NormalWeb"/>
        <w:rPr>
          <w:rFonts w:ascii="Arial" w:hAnsi="Arial" w:cs="Arial"/>
          <w:color w:val="000000"/>
          <w:sz w:val="20"/>
          <w:szCs w:val="20"/>
        </w:rPr>
      </w:pPr>
    </w:p>
    <w:p w14:paraId="63244637" w14:textId="77777777" w:rsidR="001173E0" w:rsidRDefault="001173E0" w:rsidP="001173E0">
      <w:pPr>
        <w:pStyle w:val="NormalWeb"/>
        <w:rPr>
          <w:rFonts w:ascii="Arial" w:hAnsi="Arial" w:cs="Arial"/>
          <w:color w:val="000000"/>
          <w:sz w:val="20"/>
          <w:szCs w:val="20"/>
        </w:rPr>
      </w:pPr>
    </w:p>
    <w:p w14:paraId="01A68FB7" w14:textId="77777777" w:rsidR="001173E0" w:rsidRDefault="001173E0" w:rsidP="001173E0">
      <w:pPr>
        <w:pStyle w:val="NormalWeb"/>
        <w:rPr>
          <w:rFonts w:ascii="Arial" w:hAnsi="Arial" w:cs="Arial"/>
          <w:color w:val="000000"/>
          <w:sz w:val="20"/>
          <w:szCs w:val="20"/>
        </w:rPr>
      </w:pPr>
    </w:p>
    <w:p w14:paraId="6DE409E3" w14:textId="77777777" w:rsidR="001173E0" w:rsidRDefault="001173E0" w:rsidP="001173E0">
      <w:pPr>
        <w:pStyle w:val="NormalWeb"/>
        <w:rPr>
          <w:rFonts w:ascii="Arial" w:hAnsi="Arial" w:cs="Arial"/>
          <w:color w:val="000000"/>
          <w:sz w:val="20"/>
          <w:szCs w:val="20"/>
        </w:rPr>
      </w:pPr>
    </w:p>
    <w:p w14:paraId="605C4253" w14:textId="77777777" w:rsidR="001173E0" w:rsidRDefault="001173E0" w:rsidP="001173E0">
      <w:pPr>
        <w:pStyle w:val="NormalWeb"/>
        <w:rPr>
          <w:rFonts w:ascii="Arial" w:hAnsi="Arial" w:cs="Arial"/>
          <w:color w:val="000000"/>
          <w:sz w:val="20"/>
          <w:szCs w:val="20"/>
        </w:rPr>
      </w:pPr>
    </w:p>
    <w:p w14:paraId="4E694F15" w14:textId="77777777" w:rsidR="001173E0" w:rsidRDefault="001173E0" w:rsidP="001173E0">
      <w:pPr>
        <w:pStyle w:val="NormalWeb"/>
        <w:rPr>
          <w:rFonts w:ascii="Arial" w:hAnsi="Arial" w:cs="Arial"/>
          <w:color w:val="000000"/>
          <w:sz w:val="20"/>
          <w:szCs w:val="20"/>
        </w:rPr>
      </w:pPr>
    </w:p>
    <w:p w14:paraId="390BA5CE" w14:textId="77777777" w:rsidR="001173E0" w:rsidRDefault="001173E0" w:rsidP="001173E0">
      <w:pPr>
        <w:pStyle w:val="NormalWeb"/>
        <w:rPr>
          <w:rFonts w:ascii="Arial" w:hAnsi="Arial" w:cs="Arial"/>
          <w:color w:val="000000"/>
          <w:sz w:val="20"/>
          <w:szCs w:val="20"/>
        </w:rPr>
      </w:pPr>
    </w:p>
    <w:p w14:paraId="0EE4AD20" w14:textId="77777777" w:rsidR="001173E0" w:rsidRDefault="001173E0" w:rsidP="001173E0">
      <w:pPr>
        <w:pStyle w:val="NormalWeb"/>
        <w:rPr>
          <w:rFonts w:ascii="Arial" w:hAnsi="Arial" w:cs="Arial"/>
          <w:color w:val="000000"/>
          <w:sz w:val="20"/>
          <w:szCs w:val="20"/>
        </w:rPr>
      </w:pPr>
    </w:p>
    <w:p w14:paraId="75D25D91" w14:textId="77777777" w:rsidR="001173E0" w:rsidRDefault="001173E0" w:rsidP="001173E0">
      <w:pPr>
        <w:pStyle w:val="NormalWeb"/>
        <w:rPr>
          <w:rFonts w:ascii="Arial" w:hAnsi="Arial" w:cs="Arial"/>
          <w:color w:val="000000"/>
          <w:sz w:val="20"/>
          <w:szCs w:val="20"/>
        </w:rPr>
      </w:pPr>
    </w:p>
    <w:p w14:paraId="225C85AE" w14:textId="77777777" w:rsidR="001173E0" w:rsidRDefault="001173E0" w:rsidP="001173E0">
      <w:pPr>
        <w:pStyle w:val="NormalWeb"/>
        <w:rPr>
          <w:rFonts w:ascii="Arial" w:hAnsi="Arial" w:cs="Arial"/>
          <w:color w:val="000000"/>
          <w:sz w:val="20"/>
          <w:szCs w:val="20"/>
        </w:rPr>
      </w:pPr>
    </w:p>
    <w:p w14:paraId="52811D61" w14:textId="77777777" w:rsidR="001173E0" w:rsidRDefault="001173E0" w:rsidP="001173E0">
      <w:pPr>
        <w:pStyle w:val="NormalWeb"/>
        <w:rPr>
          <w:rFonts w:ascii="Arial" w:hAnsi="Arial" w:cs="Arial"/>
          <w:color w:val="000000"/>
          <w:sz w:val="20"/>
          <w:szCs w:val="20"/>
        </w:rPr>
      </w:pPr>
    </w:p>
    <w:bookmarkEnd w:id="2"/>
    <w:p w14:paraId="79CB391F" w14:textId="77777777" w:rsidR="001173E0" w:rsidRDefault="001173E0" w:rsidP="004B4C86">
      <w:pPr>
        <w:rPr>
          <w:b/>
          <w:bCs/>
          <w:lang w:val="en-US"/>
        </w:rPr>
      </w:pPr>
    </w:p>
    <w:p w14:paraId="07BC4182" w14:textId="77777777" w:rsidR="001173E0" w:rsidRDefault="001173E0" w:rsidP="001173E0">
      <w:pPr>
        <w:pStyle w:val="NormalWeb"/>
        <w:rPr>
          <w:rFonts w:ascii="Arial" w:hAnsi="Arial" w:cs="Arial"/>
          <w:b/>
          <w:bCs/>
          <w:color w:val="000000"/>
          <w:sz w:val="20"/>
          <w:szCs w:val="20"/>
        </w:rPr>
      </w:pPr>
      <w:bookmarkStart w:id="3" w:name="OLE_LINK41"/>
      <w:bookmarkStart w:id="4" w:name="_Hlk141825083"/>
      <w:r>
        <w:rPr>
          <w:rFonts w:ascii="Arial" w:hAnsi="Arial" w:cs="Arial"/>
          <w:b/>
          <w:bCs/>
          <w:color w:val="000000"/>
          <w:sz w:val="20"/>
          <w:szCs w:val="20"/>
        </w:rPr>
        <w:t>Master Circular - Prudential norms on Income Recognition, Asset Classification and Provisioning pertaining to Advances</w:t>
      </w:r>
    </w:p>
    <w:bookmarkEnd w:id="3"/>
    <w:p w14:paraId="5C29D2BF"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RBI/2023-24/06</w:t>
      </w:r>
      <w:r>
        <w:rPr>
          <w:rFonts w:ascii="Arial" w:hAnsi="Arial" w:cs="Arial"/>
          <w:color w:val="000000"/>
          <w:sz w:val="20"/>
          <w:szCs w:val="20"/>
        </w:rPr>
        <w:br/>
        <w:t>DOR.STR.REC.3/21.04.048/2023-24</w:t>
      </w:r>
    </w:p>
    <w:p w14:paraId="4B86BDE8" w14:textId="77777777" w:rsidR="001173E0" w:rsidRDefault="001173E0" w:rsidP="001173E0">
      <w:pPr>
        <w:pStyle w:val="NormalWeb"/>
        <w:jc w:val="right"/>
        <w:rPr>
          <w:rFonts w:ascii="Arial" w:hAnsi="Arial" w:cs="Arial"/>
          <w:color w:val="000000"/>
          <w:sz w:val="20"/>
          <w:szCs w:val="20"/>
        </w:rPr>
      </w:pPr>
      <w:r>
        <w:rPr>
          <w:rFonts w:ascii="Arial" w:hAnsi="Arial" w:cs="Arial"/>
          <w:color w:val="000000"/>
          <w:sz w:val="20"/>
          <w:szCs w:val="20"/>
        </w:rPr>
        <w:t>April 1, 2023</w:t>
      </w:r>
    </w:p>
    <w:p w14:paraId="0B3042EE"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All Commercial Banks (excluding RRBs)</w:t>
      </w:r>
    </w:p>
    <w:p w14:paraId="5584492D"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Madam/Dear Sir</w:t>
      </w:r>
    </w:p>
    <w:p w14:paraId="4EF81D56" w14:textId="77777777" w:rsidR="001173E0" w:rsidRDefault="001173E0" w:rsidP="001173E0">
      <w:pPr>
        <w:pStyle w:val="head"/>
        <w:rPr>
          <w:rFonts w:ascii="Arial" w:hAnsi="Arial" w:cs="Arial"/>
          <w:b/>
          <w:bCs/>
          <w:color w:val="000000"/>
          <w:sz w:val="20"/>
          <w:szCs w:val="20"/>
        </w:rPr>
      </w:pPr>
      <w:r>
        <w:rPr>
          <w:rFonts w:ascii="Arial" w:hAnsi="Arial" w:cs="Arial"/>
          <w:b/>
          <w:bCs/>
          <w:color w:val="000000"/>
          <w:sz w:val="20"/>
          <w:szCs w:val="20"/>
        </w:rPr>
        <w:t>Master Circular - Prudential norms on Income Recognition, Asset Classification and Provisioning pertaining to Advances</w:t>
      </w:r>
    </w:p>
    <w:p w14:paraId="1F8A4BDA" w14:textId="77777777" w:rsidR="001173E0" w:rsidRDefault="001173E0" w:rsidP="001173E0">
      <w:pPr>
        <w:pStyle w:val="NormalWeb"/>
        <w:rPr>
          <w:rFonts w:ascii="Arial" w:hAnsi="Arial" w:cs="Arial"/>
          <w:color w:val="000000"/>
          <w:sz w:val="20"/>
          <w:szCs w:val="20"/>
        </w:rPr>
      </w:pPr>
      <w:r>
        <w:rPr>
          <w:rFonts w:ascii="Arial" w:hAnsi="Arial" w:cs="Arial"/>
          <w:color w:val="000000"/>
          <w:sz w:val="20"/>
          <w:szCs w:val="20"/>
        </w:rPr>
        <w:t>Please refer to the </w:t>
      </w:r>
      <w:hyperlink r:id="rId8" w:tgtFrame="_blank" w:history="1">
        <w:r>
          <w:rPr>
            <w:rStyle w:val="Hyperlink"/>
            <w:rFonts w:ascii="Arial" w:hAnsi="Arial" w:cs="Arial"/>
            <w:sz w:val="20"/>
            <w:szCs w:val="20"/>
          </w:rPr>
          <w:t>Master Circular DOR.STR.REC.4/21.04.048/2022-23 dated April 1, 2022</w:t>
        </w:r>
      </w:hyperlink>
      <w:r>
        <w:rPr>
          <w:rFonts w:ascii="Arial" w:hAnsi="Arial" w:cs="Arial"/>
          <w:color w:val="000000"/>
          <w:sz w:val="20"/>
          <w:szCs w:val="20"/>
        </w:rPr>
        <w:t> consolidating instructions / guidelines issued to banks till March 31, 2022 on matters relating to prudential norms on income recognition, asset classification and provisioning pertaining to advances.</w:t>
      </w:r>
    </w:p>
    <w:p w14:paraId="178CBB58"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2. This </w:t>
      </w:r>
      <w:hyperlink r:id="rId9" w:anchor="MC" w:history="1">
        <w:r>
          <w:rPr>
            <w:rStyle w:val="Hyperlink"/>
            <w:rFonts w:ascii="Arial" w:hAnsi="Arial" w:cs="Arial"/>
            <w:sz w:val="20"/>
            <w:szCs w:val="20"/>
          </w:rPr>
          <w:t>Master Circular</w:t>
        </w:r>
      </w:hyperlink>
      <w:r>
        <w:rPr>
          <w:rFonts w:ascii="Arial" w:hAnsi="Arial" w:cs="Arial"/>
          <w:color w:val="000000"/>
          <w:sz w:val="20"/>
          <w:szCs w:val="20"/>
        </w:rPr>
        <w:t> consolidates instructions on the above matters issued up to March 31, 2023. A list of circulars consolidated in this Master Circular is contained in </w:t>
      </w:r>
      <w:hyperlink r:id="rId10" w:anchor="AN5" w:history="1">
        <w:r>
          <w:rPr>
            <w:rStyle w:val="Hyperlink"/>
            <w:rFonts w:ascii="Arial" w:hAnsi="Arial" w:cs="Arial"/>
            <w:sz w:val="20"/>
            <w:szCs w:val="20"/>
          </w:rPr>
          <w:t>Annex 5</w:t>
        </w:r>
      </w:hyperlink>
      <w:r>
        <w:rPr>
          <w:rFonts w:ascii="Arial" w:hAnsi="Arial" w:cs="Arial"/>
          <w:color w:val="000000"/>
          <w:sz w:val="20"/>
          <w:szCs w:val="20"/>
        </w:rPr>
        <w:t>.</w:t>
      </w:r>
    </w:p>
    <w:p w14:paraId="0CFBEDF2"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Yours faithfully</w:t>
      </w:r>
    </w:p>
    <w:p w14:paraId="37E421A0" w14:textId="77777777" w:rsidR="001173E0" w:rsidRDefault="001173E0" w:rsidP="001173E0">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45EAC041"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Encl.: As above</w:t>
      </w:r>
    </w:p>
    <w:p w14:paraId="59DE623E" w14:textId="77777777" w:rsidR="001173E0" w:rsidRDefault="001173E0" w:rsidP="001173E0">
      <w:pPr>
        <w:pStyle w:val="NormalWeb"/>
        <w:rPr>
          <w:rFonts w:ascii="Arial" w:hAnsi="Arial" w:cs="Arial"/>
          <w:color w:val="000000"/>
          <w:sz w:val="20"/>
          <w:szCs w:val="20"/>
        </w:rPr>
      </w:pPr>
    </w:p>
    <w:p w14:paraId="436BBC31" w14:textId="77777777" w:rsidR="001173E0" w:rsidRDefault="001173E0" w:rsidP="001173E0">
      <w:pPr>
        <w:pStyle w:val="NormalWeb"/>
        <w:rPr>
          <w:rFonts w:ascii="Arial" w:hAnsi="Arial" w:cs="Arial"/>
          <w:color w:val="000000"/>
          <w:sz w:val="20"/>
          <w:szCs w:val="20"/>
        </w:rPr>
      </w:pPr>
    </w:p>
    <w:p w14:paraId="171F6B36" w14:textId="77777777" w:rsidR="001173E0" w:rsidRDefault="001173E0" w:rsidP="001173E0">
      <w:pPr>
        <w:pStyle w:val="NormalWeb"/>
        <w:rPr>
          <w:rFonts w:ascii="Arial" w:hAnsi="Arial" w:cs="Arial"/>
          <w:color w:val="000000"/>
          <w:sz w:val="20"/>
          <w:szCs w:val="20"/>
        </w:rPr>
      </w:pPr>
    </w:p>
    <w:p w14:paraId="2B60AE11" w14:textId="77777777" w:rsidR="001173E0" w:rsidRDefault="001173E0" w:rsidP="001173E0">
      <w:r>
        <w:t>More details can be referred to in the below link.</w:t>
      </w:r>
    </w:p>
    <w:p w14:paraId="3702858A" w14:textId="77777777" w:rsidR="001173E0" w:rsidRDefault="001173E0" w:rsidP="001173E0">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1" w:history="1">
        <w:r w:rsidRPr="005F425E">
          <w:rPr>
            <w:rStyle w:val="Hyperlink"/>
            <w:rFonts w:ascii="Arial" w:hAnsi="Arial" w:cs="Arial"/>
            <w:bCs/>
            <w:sz w:val="20"/>
            <w:szCs w:val="20"/>
          </w:rPr>
          <w:t>https://rbi.org.in/Scripts/NotificationUser.aspx?Id=12472&amp;Mode=0</w:t>
        </w:r>
      </w:hyperlink>
    </w:p>
    <w:p w14:paraId="76C9BDEB" w14:textId="77777777" w:rsidR="001173E0" w:rsidRDefault="001173E0" w:rsidP="001173E0">
      <w:pPr>
        <w:pStyle w:val="NormalWeb"/>
        <w:rPr>
          <w:rFonts w:ascii="Arial" w:hAnsi="Arial" w:cs="Arial"/>
          <w:bCs/>
          <w:color w:val="000000"/>
          <w:sz w:val="20"/>
          <w:szCs w:val="20"/>
        </w:rPr>
      </w:pPr>
    </w:p>
    <w:p w14:paraId="3487E8D1" w14:textId="77777777" w:rsidR="001173E0" w:rsidRDefault="001173E0" w:rsidP="001173E0">
      <w:pPr>
        <w:pStyle w:val="NormalWeb"/>
        <w:rPr>
          <w:rFonts w:ascii="Arial" w:hAnsi="Arial" w:cs="Arial"/>
          <w:bCs/>
          <w:color w:val="000000"/>
          <w:sz w:val="20"/>
          <w:szCs w:val="20"/>
        </w:rPr>
      </w:pPr>
    </w:p>
    <w:p w14:paraId="5CFB6AEC" w14:textId="77777777" w:rsidR="001173E0" w:rsidRDefault="001173E0" w:rsidP="001173E0">
      <w:pPr>
        <w:pStyle w:val="NormalWeb"/>
        <w:rPr>
          <w:rFonts w:ascii="Arial" w:hAnsi="Arial" w:cs="Arial"/>
          <w:bCs/>
          <w:color w:val="000000"/>
          <w:sz w:val="20"/>
          <w:szCs w:val="20"/>
        </w:rPr>
      </w:pPr>
    </w:p>
    <w:p w14:paraId="3441C723" w14:textId="77777777" w:rsidR="001173E0" w:rsidRDefault="001173E0" w:rsidP="001173E0">
      <w:pPr>
        <w:pStyle w:val="NormalWeb"/>
        <w:rPr>
          <w:rFonts w:ascii="Arial" w:hAnsi="Arial" w:cs="Arial"/>
          <w:bCs/>
          <w:color w:val="000000"/>
          <w:sz w:val="20"/>
          <w:szCs w:val="20"/>
        </w:rPr>
      </w:pPr>
    </w:p>
    <w:p w14:paraId="5A8156AA" w14:textId="77777777" w:rsidR="001173E0" w:rsidRDefault="001173E0" w:rsidP="001173E0">
      <w:pPr>
        <w:pStyle w:val="NormalWeb"/>
        <w:rPr>
          <w:rFonts w:ascii="Arial" w:hAnsi="Arial" w:cs="Arial"/>
          <w:bCs/>
          <w:color w:val="000000"/>
          <w:sz w:val="20"/>
          <w:szCs w:val="20"/>
        </w:rPr>
      </w:pPr>
    </w:p>
    <w:p w14:paraId="2EE6A681" w14:textId="77777777" w:rsidR="001173E0" w:rsidRDefault="001173E0" w:rsidP="001173E0">
      <w:pPr>
        <w:pStyle w:val="NormalWeb"/>
        <w:rPr>
          <w:rFonts w:ascii="Arial" w:hAnsi="Arial" w:cs="Arial"/>
          <w:bCs/>
          <w:color w:val="000000"/>
          <w:sz w:val="20"/>
          <w:szCs w:val="20"/>
        </w:rPr>
      </w:pPr>
    </w:p>
    <w:p w14:paraId="618E682C" w14:textId="77777777" w:rsidR="001173E0" w:rsidRDefault="001173E0" w:rsidP="001173E0">
      <w:pPr>
        <w:pStyle w:val="NormalWeb"/>
        <w:rPr>
          <w:rFonts w:ascii="Arial" w:hAnsi="Arial" w:cs="Arial"/>
          <w:bCs/>
          <w:color w:val="000000"/>
          <w:sz w:val="20"/>
          <w:szCs w:val="20"/>
        </w:rPr>
      </w:pPr>
    </w:p>
    <w:bookmarkEnd w:id="4"/>
    <w:p w14:paraId="582116B6" w14:textId="77777777" w:rsidR="001173E0" w:rsidRDefault="001173E0" w:rsidP="004B4C86">
      <w:pPr>
        <w:rPr>
          <w:b/>
          <w:bCs/>
          <w:lang w:val="en-US"/>
        </w:rPr>
      </w:pPr>
    </w:p>
    <w:p w14:paraId="0666A92B" w14:textId="77777777" w:rsidR="001173E0" w:rsidRDefault="001173E0" w:rsidP="001173E0">
      <w:pPr>
        <w:pStyle w:val="NormalWeb"/>
        <w:rPr>
          <w:rFonts w:ascii="Arial" w:hAnsi="Arial" w:cs="Arial"/>
          <w:b/>
          <w:bCs/>
          <w:color w:val="000000"/>
          <w:sz w:val="20"/>
          <w:szCs w:val="20"/>
        </w:rPr>
      </w:pPr>
      <w:bookmarkStart w:id="5" w:name="OLE_LINK56"/>
      <w:bookmarkStart w:id="6" w:name="_Hlk141825172"/>
      <w:r>
        <w:rPr>
          <w:rFonts w:ascii="Arial" w:hAnsi="Arial" w:cs="Arial"/>
          <w:b/>
          <w:bCs/>
          <w:color w:val="000000"/>
          <w:sz w:val="20"/>
          <w:szCs w:val="20"/>
        </w:rPr>
        <w:t>Framework for acceptance of Green Deposits</w:t>
      </w:r>
    </w:p>
    <w:bookmarkEnd w:id="5"/>
    <w:p w14:paraId="2B74938A"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RBI/2023-24/14</w:t>
      </w:r>
      <w:r>
        <w:rPr>
          <w:rFonts w:ascii="Arial" w:hAnsi="Arial" w:cs="Arial"/>
          <w:color w:val="000000"/>
          <w:sz w:val="20"/>
          <w:szCs w:val="20"/>
        </w:rPr>
        <w:br/>
        <w:t>DOR.SFG.REC.10/30.01.021/2023-24</w:t>
      </w:r>
    </w:p>
    <w:p w14:paraId="324CE276" w14:textId="77777777" w:rsidR="001173E0" w:rsidRDefault="001173E0" w:rsidP="001173E0">
      <w:pPr>
        <w:pStyle w:val="NormalWeb"/>
        <w:jc w:val="right"/>
        <w:rPr>
          <w:rFonts w:ascii="Arial" w:hAnsi="Arial" w:cs="Arial"/>
          <w:color w:val="000000"/>
          <w:sz w:val="20"/>
          <w:szCs w:val="20"/>
        </w:rPr>
      </w:pPr>
      <w:r>
        <w:rPr>
          <w:rFonts w:ascii="Arial" w:hAnsi="Arial" w:cs="Arial"/>
          <w:color w:val="000000"/>
          <w:sz w:val="20"/>
          <w:szCs w:val="20"/>
        </w:rPr>
        <w:t>April 11, 2023</w:t>
      </w:r>
    </w:p>
    <w:p w14:paraId="4A988DBA" w14:textId="77777777" w:rsidR="001173E0" w:rsidRDefault="001173E0" w:rsidP="001173E0">
      <w:pPr>
        <w:pStyle w:val="NormalWeb"/>
        <w:rPr>
          <w:rFonts w:ascii="Arial" w:hAnsi="Arial" w:cs="Arial"/>
          <w:color w:val="000000"/>
          <w:sz w:val="20"/>
          <w:szCs w:val="20"/>
        </w:rPr>
      </w:pPr>
      <w:r>
        <w:rPr>
          <w:rFonts w:ascii="Arial" w:hAnsi="Arial" w:cs="Arial"/>
          <w:color w:val="000000"/>
          <w:sz w:val="20"/>
          <w:szCs w:val="20"/>
        </w:rPr>
        <w:t>All Scheduled Commercial Banks including Small Finance Banks</w:t>
      </w:r>
      <w:r>
        <w:rPr>
          <w:rFonts w:ascii="Arial" w:hAnsi="Arial" w:cs="Arial"/>
          <w:color w:val="000000"/>
          <w:sz w:val="20"/>
          <w:szCs w:val="20"/>
        </w:rPr>
        <w:br/>
        <w:t>(excluding Regional Rural Banks, Local Area Banks and Payments Banks)</w:t>
      </w:r>
      <w:r>
        <w:rPr>
          <w:rFonts w:ascii="Arial" w:hAnsi="Arial" w:cs="Arial"/>
          <w:color w:val="000000"/>
          <w:sz w:val="20"/>
          <w:szCs w:val="20"/>
        </w:rPr>
        <w:br/>
        <w:t>All Deposit taking Non-Banking Finance Companies (NBFCs) including Housing Finance Companies (HFCs)</w:t>
      </w:r>
    </w:p>
    <w:p w14:paraId="5981EFA3"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Madam/Dear Sir,</w:t>
      </w:r>
    </w:p>
    <w:p w14:paraId="68D31C99" w14:textId="77777777" w:rsidR="001173E0" w:rsidRDefault="001173E0" w:rsidP="001173E0">
      <w:pPr>
        <w:pStyle w:val="head"/>
        <w:jc w:val="both"/>
        <w:rPr>
          <w:rFonts w:ascii="Arial" w:hAnsi="Arial" w:cs="Arial"/>
          <w:b/>
          <w:bCs/>
          <w:color w:val="000000"/>
          <w:sz w:val="20"/>
          <w:szCs w:val="20"/>
        </w:rPr>
      </w:pPr>
      <w:r>
        <w:rPr>
          <w:rFonts w:ascii="Arial" w:hAnsi="Arial" w:cs="Arial"/>
          <w:b/>
          <w:bCs/>
          <w:color w:val="000000"/>
          <w:sz w:val="20"/>
          <w:szCs w:val="20"/>
        </w:rPr>
        <w:t>Framework for acceptance of Green Deposits</w:t>
      </w:r>
    </w:p>
    <w:p w14:paraId="05FD185D"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Climate change has been recognised as one of the most critical challenges faced by the global society and economy in the 21st century. The financial sector can play a pivotal role in mobilizing resources and their allocation thereof in green activities/projects. Green finance is also progressively gaining traction in India.</w:t>
      </w:r>
    </w:p>
    <w:p w14:paraId="599C6826"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2. Deposits constitute a major source for mobilizing of funds by the Regulated Entities (REs). It is seen that some REs are already offering green deposits for financing green activities and projects. Taking this forward and with a view to fostering and developing green finance ecosystem in the country, it has been decided to put in place the enclosed </w:t>
      </w:r>
      <w:hyperlink r:id="rId12" w:anchor="GD" w:history="1">
        <w:r>
          <w:rPr>
            <w:rStyle w:val="Hyperlink"/>
            <w:rFonts w:ascii="Arial" w:hAnsi="Arial" w:cs="Arial"/>
            <w:sz w:val="20"/>
            <w:szCs w:val="20"/>
          </w:rPr>
          <w:t>Framework for acceptance of Green Deposits</w:t>
        </w:r>
      </w:hyperlink>
      <w:r>
        <w:rPr>
          <w:rFonts w:ascii="Arial" w:hAnsi="Arial" w:cs="Arial"/>
          <w:color w:val="000000"/>
          <w:sz w:val="20"/>
          <w:szCs w:val="20"/>
        </w:rPr>
        <w:t xml:space="preserve"> for the </w:t>
      </w:r>
      <w:proofErr w:type="spellStart"/>
      <w:r>
        <w:rPr>
          <w:rFonts w:ascii="Arial" w:hAnsi="Arial" w:cs="Arial"/>
          <w:color w:val="000000"/>
          <w:sz w:val="20"/>
          <w:szCs w:val="20"/>
        </w:rPr>
        <w:t>REs.</w:t>
      </w:r>
      <w:proofErr w:type="spellEnd"/>
    </w:p>
    <w:p w14:paraId="605454C4"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3.</w:t>
      </w:r>
      <w:r>
        <w:rPr>
          <w:rStyle w:val="Strong"/>
          <w:rFonts w:ascii="Arial" w:hAnsi="Arial" w:cs="Arial"/>
          <w:color w:val="000000"/>
          <w:sz w:val="20"/>
          <w:szCs w:val="20"/>
        </w:rPr>
        <w:t> </w:t>
      </w:r>
      <w:r>
        <w:rPr>
          <w:rFonts w:ascii="Arial" w:hAnsi="Arial" w:cs="Arial"/>
          <w:color w:val="000000"/>
          <w:sz w:val="20"/>
          <w:szCs w:val="20"/>
        </w:rPr>
        <w:t>The framework shall come into effect from June 1, 2023.</w:t>
      </w:r>
    </w:p>
    <w:p w14:paraId="1E44D0AD"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Yours faithfully,</w:t>
      </w:r>
    </w:p>
    <w:p w14:paraId="51063EC9" w14:textId="77777777" w:rsidR="001173E0" w:rsidRDefault="001173E0" w:rsidP="001173E0">
      <w:pPr>
        <w:pStyle w:val="NormalWeb"/>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14:paraId="77A378DC" w14:textId="77777777" w:rsidR="001173E0" w:rsidRDefault="001173E0" w:rsidP="001173E0">
      <w:pPr>
        <w:pStyle w:val="NormalWeb"/>
        <w:rPr>
          <w:rFonts w:ascii="Arial" w:hAnsi="Arial" w:cs="Arial"/>
          <w:bCs/>
          <w:color w:val="000000"/>
          <w:sz w:val="20"/>
          <w:szCs w:val="20"/>
        </w:rPr>
      </w:pPr>
    </w:p>
    <w:p w14:paraId="556099F0" w14:textId="77777777" w:rsidR="001173E0" w:rsidRDefault="001173E0" w:rsidP="001173E0">
      <w:pPr>
        <w:spacing w:after="0"/>
      </w:pPr>
      <w:r>
        <w:t>More details can be referred to in the below link.</w:t>
      </w:r>
    </w:p>
    <w:p w14:paraId="75FE7C81" w14:textId="77777777" w:rsidR="001173E0" w:rsidRDefault="001173E0" w:rsidP="001173E0">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3" w:history="1">
        <w:r w:rsidRPr="005F425E">
          <w:rPr>
            <w:rStyle w:val="Hyperlink"/>
            <w:rFonts w:ascii="Arial" w:hAnsi="Arial" w:cs="Arial"/>
            <w:bCs/>
            <w:sz w:val="20"/>
            <w:szCs w:val="20"/>
          </w:rPr>
          <w:t>https://rbi.org.in/Scripts/NotificationUser.aspx?Id=12487&amp;Mode=0</w:t>
        </w:r>
      </w:hyperlink>
    </w:p>
    <w:p w14:paraId="3EFB456B" w14:textId="77777777" w:rsidR="001173E0" w:rsidRDefault="001173E0" w:rsidP="001173E0">
      <w:pPr>
        <w:pStyle w:val="NormalWeb"/>
        <w:rPr>
          <w:rFonts w:ascii="Arial" w:hAnsi="Arial" w:cs="Arial"/>
          <w:bCs/>
          <w:color w:val="000000"/>
          <w:sz w:val="20"/>
          <w:szCs w:val="20"/>
        </w:rPr>
      </w:pPr>
    </w:p>
    <w:p w14:paraId="48A2EAB8" w14:textId="77777777" w:rsidR="001173E0" w:rsidRDefault="001173E0" w:rsidP="001173E0">
      <w:pPr>
        <w:pStyle w:val="NormalWeb"/>
        <w:rPr>
          <w:rFonts w:ascii="Arial" w:hAnsi="Arial" w:cs="Arial"/>
          <w:bCs/>
          <w:color w:val="000000"/>
          <w:sz w:val="20"/>
          <w:szCs w:val="20"/>
        </w:rPr>
      </w:pPr>
    </w:p>
    <w:p w14:paraId="2D136E4F" w14:textId="77777777" w:rsidR="001173E0" w:rsidRDefault="001173E0" w:rsidP="001173E0">
      <w:pPr>
        <w:pStyle w:val="NormalWeb"/>
        <w:rPr>
          <w:rFonts w:ascii="Arial" w:hAnsi="Arial" w:cs="Arial"/>
          <w:bCs/>
          <w:color w:val="000000"/>
          <w:sz w:val="20"/>
          <w:szCs w:val="20"/>
        </w:rPr>
      </w:pPr>
    </w:p>
    <w:p w14:paraId="5D7BA1E4" w14:textId="77777777" w:rsidR="001173E0" w:rsidRDefault="001173E0" w:rsidP="001173E0">
      <w:pPr>
        <w:pStyle w:val="NormalWeb"/>
        <w:rPr>
          <w:rFonts w:ascii="Arial" w:hAnsi="Arial" w:cs="Arial"/>
          <w:bCs/>
          <w:color w:val="000000"/>
          <w:sz w:val="20"/>
          <w:szCs w:val="20"/>
        </w:rPr>
      </w:pPr>
    </w:p>
    <w:p w14:paraId="6AFE95D2" w14:textId="77777777" w:rsidR="001173E0" w:rsidRDefault="001173E0" w:rsidP="001173E0">
      <w:pPr>
        <w:pStyle w:val="NormalWeb"/>
        <w:rPr>
          <w:rFonts w:ascii="Arial" w:hAnsi="Arial" w:cs="Arial"/>
          <w:bCs/>
          <w:color w:val="000000"/>
          <w:sz w:val="20"/>
          <w:szCs w:val="20"/>
        </w:rPr>
      </w:pPr>
    </w:p>
    <w:p w14:paraId="6AA331B7" w14:textId="77777777" w:rsidR="00C80CC7" w:rsidRDefault="00C80CC7" w:rsidP="001173E0">
      <w:pPr>
        <w:pStyle w:val="NormalWeb"/>
        <w:rPr>
          <w:rFonts w:ascii="Arial" w:hAnsi="Arial" w:cs="Arial"/>
          <w:bCs/>
          <w:color w:val="000000"/>
          <w:sz w:val="20"/>
          <w:szCs w:val="20"/>
        </w:rPr>
      </w:pPr>
      <w:bookmarkStart w:id="7" w:name="_Hlk141829312"/>
      <w:bookmarkEnd w:id="6"/>
    </w:p>
    <w:p w14:paraId="66647B31" w14:textId="116F01C2" w:rsidR="001173E0" w:rsidRDefault="001173E0" w:rsidP="001173E0">
      <w:pPr>
        <w:pStyle w:val="NormalWeb"/>
        <w:rPr>
          <w:rFonts w:ascii="Arial" w:hAnsi="Arial" w:cs="Arial"/>
          <w:b/>
          <w:bCs/>
          <w:color w:val="000000"/>
          <w:sz w:val="20"/>
          <w:szCs w:val="20"/>
        </w:rPr>
      </w:pPr>
      <w:r>
        <w:rPr>
          <w:rFonts w:ascii="Arial" w:hAnsi="Arial" w:cs="Arial"/>
          <w:b/>
          <w:bCs/>
          <w:color w:val="000000"/>
          <w:sz w:val="20"/>
          <w:szCs w:val="20"/>
        </w:rPr>
        <w:t>Provisioning for standard assets by primary (Urban) co-operative banks – revised norms under four-tiered regulatory framework</w:t>
      </w:r>
    </w:p>
    <w:p w14:paraId="37D70102" w14:textId="77777777" w:rsidR="001173E0" w:rsidRDefault="001173E0" w:rsidP="001173E0">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RBI/2023-24/18</w:t>
      </w:r>
      <w:r>
        <w:rPr>
          <w:rFonts w:ascii="Arial" w:hAnsi="Arial" w:cs="Arial"/>
          <w:color w:val="000000"/>
          <w:sz w:val="20"/>
          <w:szCs w:val="20"/>
        </w:rPr>
        <w:br/>
        <w:t>DOR.STR.REC.12/21.04.048/2023-24</w:t>
      </w:r>
    </w:p>
    <w:p w14:paraId="4E4E8D61" w14:textId="77777777" w:rsidR="001173E0" w:rsidRDefault="001173E0" w:rsidP="001173E0">
      <w:pPr>
        <w:pStyle w:val="NormalWeb"/>
        <w:spacing w:before="0" w:beforeAutospacing="0"/>
        <w:jc w:val="right"/>
        <w:rPr>
          <w:rFonts w:ascii="Arial" w:hAnsi="Arial" w:cs="Arial"/>
          <w:color w:val="000000"/>
          <w:sz w:val="20"/>
          <w:szCs w:val="20"/>
        </w:rPr>
      </w:pPr>
      <w:r>
        <w:rPr>
          <w:rFonts w:ascii="Arial" w:hAnsi="Arial" w:cs="Arial"/>
          <w:color w:val="000000"/>
          <w:sz w:val="20"/>
          <w:szCs w:val="20"/>
        </w:rPr>
        <w:t>April 24, 2023</w:t>
      </w:r>
    </w:p>
    <w:p w14:paraId="3692B268" w14:textId="77777777" w:rsidR="001173E0" w:rsidRDefault="001173E0" w:rsidP="001173E0">
      <w:pPr>
        <w:pStyle w:val="NormalWeb"/>
        <w:spacing w:after="0" w:afterAutospacing="0"/>
        <w:jc w:val="both"/>
        <w:rPr>
          <w:rFonts w:ascii="Arial" w:hAnsi="Arial" w:cs="Arial"/>
          <w:color w:val="000000"/>
          <w:sz w:val="20"/>
          <w:szCs w:val="20"/>
        </w:rPr>
      </w:pPr>
      <w:r>
        <w:rPr>
          <w:rFonts w:ascii="Arial" w:hAnsi="Arial" w:cs="Arial"/>
          <w:color w:val="000000"/>
          <w:sz w:val="20"/>
          <w:szCs w:val="20"/>
        </w:rPr>
        <w:t>All Primary (Urban) Co-operative Banks,</w:t>
      </w:r>
    </w:p>
    <w:p w14:paraId="34D31666"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Madam / Dear Sir,</w:t>
      </w:r>
    </w:p>
    <w:p w14:paraId="210F1FFF" w14:textId="77777777" w:rsidR="001173E0" w:rsidRDefault="001173E0" w:rsidP="001173E0">
      <w:pPr>
        <w:pStyle w:val="head"/>
        <w:jc w:val="both"/>
        <w:rPr>
          <w:rFonts w:ascii="Arial" w:hAnsi="Arial" w:cs="Arial"/>
          <w:b/>
          <w:bCs/>
          <w:color w:val="000000"/>
          <w:sz w:val="20"/>
          <w:szCs w:val="20"/>
        </w:rPr>
      </w:pPr>
      <w:r>
        <w:rPr>
          <w:rFonts w:ascii="Arial" w:hAnsi="Arial" w:cs="Arial"/>
          <w:b/>
          <w:bCs/>
          <w:color w:val="000000"/>
          <w:sz w:val="20"/>
          <w:szCs w:val="20"/>
        </w:rPr>
        <w:t>Provisioning for standard assets by primary (Urban) co-operative banks – revised norms under four-tiered regulatory framework</w:t>
      </w:r>
    </w:p>
    <w:p w14:paraId="5C4B446A"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Please refer to </w:t>
      </w:r>
      <w:hyperlink r:id="rId14" w:tgtFrame="_blank" w:history="1">
        <w:r>
          <w:rPr>
            <w:rStyle w:val="Hyperlink"/>
            <w:rFonts w:ascii="Arial" w:hAnsi="Arial" w:cs="Arial"/>
            <w:sz w:val="20"/>
            <w:szCs w:val="20"/>
          </w:rPr>
          <w:t>circular DOR.REG.No.84/07.01.000/2022-23 dated December 01, 2022</w:t>
        </w:r>
      </w:hyperlink>
      <w:r>
        <w:rPr>
          <w:rFonts w:ascii="Arial" w:hAnsi="Arial" w:cs="Arial"/>
          <w:color w:val="000000"/>
          <w:sz w:val="20"/>
          <w:szCs w:val="20"/>
        </w:rPr>
        <w:t>, in terms of which Urban Co-operative Banks (UCBs) have been categorized into four Tiers namely Tier 1, Tier 2, Tier 3 and Tier 4 for regulatory purposes.</w:t>
      </w:r>
    </w:p>
    <w:p w14:paraId="4E8C7AFC"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2. The current standard assets provisioning norms for UCBs, consolidated in the </w:t>
      </w:r>
      <w:hyperlink r:id="rId15" w:tgtFrame="_blank" w:history="1">
        <w:r>
          <w:rPr>
            <w:rStyle w:val="Hyperlink"/>
            <w:rFonts w:ascii="Arial" w:hAnsi="Arial" w:cs="Arial"/>
            <w:sz w:val="20"/>
            <w:szCs w:val="20"/>
          </w:rPr>
          <w:t>Master Circular DOR.STR.REC.5/21.04.048/2022-23 dated April 01, 2022</w:t>
        </w:r>
      </w:hyperlink>
      <w:r>
        <w:rPr>
          <w:rFonts w:ascii="Arial" w:hAnsi="Arial" w:cs="Arial"/>
          <w:color w:val="000000"/>
          <w:sz w:val="20"/>
          <w:szCs w:val="20"/>
        </w:rPr>
        <w:t>, are based on the earlier categorization of UCBs into Tier I and Tier II as defined in para 4 of </w:t>
      </w:r>
      <w:hyperlink r:id="rId16" w:tgtFrame="_blank" w:history="1">
        <w:r>
          <w:rPr>
            <w:rStyle w:val="Hyperlink"/>
            <w:rFonts w:ascii="Arial" w:hAnsi="Arial" w:cs="Arial"/>
            <w:sz w:val="20"/>
            <w:szCs w:val="20"/>
          </w:rPr>
          <w:t>circular UBD.CO.LS.Cir.No.66/07.01.000/2008-09 dated May 06, 2009</w:t>
        </w:r>
      </w:hyperlink>
      <w:r>
        <w:rPr>
          <w:rFonts w:ascii="Arial" w:hAnsi="Arial" w:cs="Arial"/>
          <w:color w:val="000000"/>
          <w:sz w:val="20"/>
          <w:szCs w:val="20"/>
        </w:rPr>
        <w:t>, as given below:</w:t>
      </w: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5528"/>
        <w:gridCol w:w="993"/>
        <w:gridCol w:w="1134"/>
      </w:tblGrid>
      <w:tr w:rsidR="001173E0" w14:paraId="7F0A2CB3" w14:textId="77777777" w:rsidTr="00781F9A">
        <w:tc>
          <w:tcPr>
            <w:tcW w:w="497" w:type="pct"/>
            <w:vMerge w:val="restart"/>
            <w:tcMar>
              <w:top w:w="0" w:type="dxa"/>
              <w:left w:w="45" w:type="dxa"/>
              <w:bottom w:w="0" w:type="dxa"/>
              <w:right w:w="45" w:type="dxa"/>
            </w:tcMar>
            <w:vAlign w:val="center"/>
            <w:hideMark/>
          </w:tcPr>
          <w:p w14:paraId="7E5705A3" w14:textId="77777777" w:rsidR="001173E0" w:rsidRDefault="001173E0" w:rsidP="00781F9A">
            <w:pPr>
              <w:jc w:val="center"/>
              <w:rPr>
                <w:rFonts w:ascii="Arial" w:hAnsi="Arial" w:cs="Arial"/>
                <w:color w:val="000000"/>
                <w:sz w:val="20"/>
                <w:szCs w:val="20"/>
              </w:rPr>
            </w:pPr>
            <w:r>
              <w:rPr>
                <w:rStyle w:val="head1"/>
                <w:rFonts w:ascii="Arial" w:hAnsi="Arial" w:cs="Arial"/>
                <w:color w:val="000000"/>
                <w:sz w:val="20"/>
                <w:szCs w:val="20"/>
              </w:rPr>
              <w:t>Sl. No.</w:t>
            </w:r>
          </w:p>
        </w:tc>
        <w:tc>
          <w:tcPr>
            <w:tcW w:w="3252" w:type="pct"/>
            <w:vMerge w:val="restart"/>
            <w:tcMar>
              <w:top w:w="0" w:type="dxa"/>
              <w:left w:w="45" w:type="dxa"/>
              <w:bottom w:w="0" w:type="dxa"/>
              <w:right w:w="45" w:type="dxa"/>
            </w:tcMar>
            <w:vAlign w:val="center"/>
            <w:hideMark/>
          </w:tcPr>
          <w:p w14:paraId="6B803439" w14:textId="77777777" w:rsidR="001173E0" w:rsidRDefault="001173E0" w:rsidP="00781F9A">
            <w:pPr>
              <w:spacing w:after="0"/>
              <w:jc w:val="center"/>
              <w:rPr>
                <w:rFonts w:ascii="Arial" w:hAnsi="Arial" w:cs="Arial"/>
                <w:color w:val="000000"/>
                <w:sz w:val="20"/>
                <w:szCs w:val="20"/>
              </w:rPr>
            </w:pPr>
            <w:r>
              <w:rPr>
                <w:rStyle w:val="head1"/>
                <w:rFonts w:ascii="Arial" w:hAnsi="Arial" w:cs="Arial"/>
                <w:color w:val="000000"/>
                <w:sz w:val="20"/>
                <w:szCs w:val="20"/>
              </w:rPr>
              <w:t>Category of Standard Asset</w:t>
            </w:r>
          </w:p>
        </w:tc>
        <w:tc>
          <w:tcPr>
            <w:tcW w:w="1251" w:type="pct"/>
            <w:gridSpan w:val="2"/>
            <w:tcMar>
              <w:top w:w="0" w:type="dxa"/>
              <w:left w:w="45" w:type="dxa"/>
              <w:bottom w:w="0" w:type="dxa"/>
              <w:right w:w="45" w:type="dxa"/>
            </w:tcMar>
            <w:vAlign w:val="center"/>
            <w:hideMark/>
          </w:tcPr>
          <w:p w14:paraId="30607235" w14:textId="77777777" w:rsidR="001173E0" w:rsidRDefault="001173E0" w:rsidP="00781F9A">
            <w:pPr>
              <w:jc w:val="center"/>
              <w:rPr>
                <w:rFonts w:ascii="Arial" w:hAnsi="Arial" w:cs="Arial"/>
                <w:color w:val="000000"/>
                <w:sz w:val="20"/>
                <w:szCs w:val="20"/>
              </w:rPr>
            </w:pPr>
            <w:r>
              <w:rPr>
                <w:rStyle w:val="head1"/>
                <w:rFonts w:ascii="Arial" w:hAnsi="Arial" w:cs="Arial"/>
                <w:color w:val="000000"/>
                <w:sz w:val="20"/>
                <w:szCs w:val="20"/>
              </w:rPr>
              <w:t>Rate of Provisioning</w:t>
            </w:r>
          </w:p>
        </w:tc>
      </w:tr>
      <w:tr w:rsidR="001173E0" w14:paraId="00FDD6DA" w14:textId="77777777" w:rsidTr="00781F9A">
        <w:trPr>
          <w:trHeight w:val="162"/>
        </w:trPr>
        <w:tc>
          <w:tcPr>
            <w:tcW w:w="497" w:type="pct"/>
            <w:vMerge/>
            <w:vAlign w:val="center"/>
            <w:hideMark/>
          </w:tcPr>
          <w:p w14:paraId="4461B9E0" w14:textId="77777777" w:rsidR="001173E0" w:rsidRDefault="001173E0" w:rsidP="00781F9A">
            <w:pPr>
              <w:jc w:val="both"/>
              <w:rPr>
                <w:rFonts w:ascii="Arial" w:hAnsi="Arial" w:cs="Arial"/>
                <w:color w:val="000000"/>
                <w:sz w:val="20"/>
                <w:szCs w:val="20"/>
              </w:rPr>
            </w:pPr>
          </w:p>
        </w:tc>
        <w:tc>
          <w:tcPr>
            <w:tcW w:w="3252" w:type="pct"/>
            <w:vMerge/>
            <w:vAlign w:val="center"/>
            <w:hideMark/>
          </w:tcPr>
          <w:p w14:paraId="7424A11C" w14:textId="77777777" w:rsidR="001173E0" w:rsidRDefault="001173E0" w:rsidP="00781F9A">
            <w:pPr>
              <w:jc w:val="both"/>
              <w:rPr>
                <w:rFonts w:ascii="Arial" w:hAnsi="Arial" w:cs="Arial"/>
                <w:color w:val="000000"/>
                <w:sz w:val="20"/>
                <w:szCs w:val="20"/>
              </w:rPr>
            </w:pPr>
          </w:p>
        </w:tc>
        <w:tc>
          <w:tcPr>
            <w:tcW w:w="584" w:type="pct"/>
            <w:tcMar>
              <w:top w:w="0" w:type="dxa"/>
              <w:left w:w="45" w:type="dxa"/>
              <w:bottom w:w="0" w:type="dxa"/>
              <w:right w:w="45" w:type="dxa"/>
            </w:tcMar>
            <w:vAlign w:val="center"/>
            <w:hideMark/>
          </w:tcPr>
          <w:p w14:paraId="3C45AE1A" w14:textId="77777777" w:rsidR="001173E0" w:rsidRDefault="001173E0" w:rsidP="00781F9A">
            <w:pPr>
              <w:jc w:val="center"/>
              <w:rPr>
                <w:rFonts w:ascii="Arial" w:hAnsi="Arial" w:cs="Arial"/>
                <w:color w:val="000000"/>
                <w:sz w:val="20"/>
                <w:szCs w:val="20"/>
              </w:rPr>
            </w:pPr>
            <w:r>
              <w:rPr>
                <w:rStyle w:val="head1"/>
                <w:rFonts w:ascii="Arial" w:hAnsi="Arial" w:cs="Arial"/>
                <w:color w:val="000000"/>
                <w:sz w:val="20"/>
                <w:szCs w:val="20"/>
              </w:rPr>
              <w:t>Tier II</w:t>
            </w:r>
          </w:p>
        </w:tc>
        <w:tc>
          <w:tcPr>
            <w:tcW w:w="667" w:type="pct"/>
            <w:tcMar>
              <w:top w:w="0" w:type="dxa"/>
              <w:left w:w="45" w:type="dxa"/>
              <w:bottom w:w="0" w:type="dxa"/>
              <w:right w:w="45" w:type="dxa"/>
            </w:tcMar>
            <w:vAlign w:val="center"/>
            <w:hideMark/>
          </w:tcPr>
          <w:p w14:paraId="5834E9E5" w14:textId="77777777" w:rsidR="001173E0" w:rsidRDefault="001173E0" w:rsidP="00781F9A">
            <w:pPr>
              <w:jc w:val="center"/>
              <w:rPr>
                <w:rFonts w:ascii="Arial" w:hAnsi="Arial" w:cs="Arial"/>
                <w:color w:val="000000"/>
                <w:sz w:val="20"/>
                <w:szCs w:val="20"/>
              </w:rPr>
            </w:pPr>
            <w:r>
              <w:rPr>
                <w:rStyle w:val="head1"/>
                <w:rFonts w:ascii="Arial" w:hAnsi="Arial" w:cs="Arial"/>
                <w:color w:val="000000"/>
                <w:sz w:val="20"/>
                <w:szCs w:val="20"/>
              </w:rPr>
              <w:t>Tier I</w:t>
            </w:r>
          </w:p>
        </w:tc>
      </w:tr>
      <w:tr w:rsidR="001173E0" w14:paraId="761DB31C" w14:textId="77777777" w:rsidTr="00781F9A">
        <w:tc>
          <w:tcPr>
            <w:tcW w:w="497" w:type="pct"/>
            <w:tcMar>
              <w:top w:w="0" w:type="dxa"/>
              <w:left w:w="45" w:type="dxa"/>
              <w:bottom w:w="0" w:type="dxa"/>
              <w:right w:w="45" w:type="dxa"/>
            </w:tcMar>
            <w:vAlign w:val="center"/>
            <w:hideMark/>
          </w:tcPr>
          <w:p w14:paraId="252828D0" w14:textId="77777777" w:rsidR="001173E0" w:rsidRDefault="001173E0" w:rsidP="00781F9A">
            <w:pPr>
              <w:jc w:val="center"/>
              <w:rPr>
                <w:rFonts w:ascii="Arial" w:hAnsi="Arial" w:cs="Arial"/>
                <w:color w:val="000000"/>
                <w:sz w:val="20"/>
                <w:szCs w:val="20"/>
              </w:rPr>
            </w:pPr>
            <w:r>
              <w:rPr>
                <w:rFonts w:ascii="Arial" w:hAnsi="Arial" w:cs="Arial"/>
                <w:color w:val="000000"/>
                <w:sz w:val="20"/>
                <w:szCs w:val="20"/>
              </w:rPr>
              <w:t>(a)</w:t>
            </w:r>
          </w:p>
        </w:tc>
        <w:tc>
          <w:tcPr>
            <w:tcW w:w="3252" w:type="pct"/>
            <w:tcMar>
              <w:top w:w="0" w:type="dxa"/>
              <w:left w:w="45" w:type="dxa"/>
              <w:bottom w:w="0" w:type="dxa"/>
              <w:right w:w="45" w:type="dxa"/>
            </w:tcMar>
            <w:vAlign w:val="center"/>
            <w:hideMark/>
          </w:tcPr>
          <w:p w14:paraId="10B26F36" w14:textId="77777777" w:rsidR="001173E0" w:rsidRDefault="001173E0" w:rsidP="00781F9A">
            <w:pPr>
              <w:jc w:val="both"/>
              <w:rPr>
                <w:rFonts w:ascii="Arial" w:hAnsi="Arial" w:cs="Arial"/>
                <w:color w:val="000000"/>
                <w:sz w:val="20"/>
                <w:szCs w:val="20"/>
              </w:rPr>
            </w:pPr>
            <w:r>
              <w:rPr>
                <w:rFonts w:ascii="Arial" w:hAnsi="Arial" w:cs="Arial"/>
                <w:color w:val="000000"/>
                <w:sz w:val="20"/>
                <w:szCs w:val="20"/>
              </w:rPr>
              <w:t>Direct advances to Agriculture and SME sectors</w:t>
            </w:r>
          </w:p>
        </w:tc>
        <w:tc>
          <w:tcPr>
            <w:tcW w:w="584" w:type="pct"/>
            <w:tcMar>
              <w:top w:w="0" w:type="dxa"/>
              <w:left w:w="45" w:type="dxa"/>
              <w:bottom w:w="0" w:type="dxa"/>
              <w:right w:w="45" w:type="dxa"/>
            </w:tcMar>
            <w:vAlign w:val="center"/>
            <w:hideMark/>
          </w:tcPr>
          <w:p w14:paraId="286119B6" w14:textId="77777777" w:rsidR="001173E0" w:rsidRDefault="001173E0" w:rsidP="00781F9A">
            <w:pPr>
              <w:jc w:val="center"/>
              <w:rPr>
                <w:rFonts w:ascii="Arial" w:hAnsi="Arial" w:cs="Arial"/>
                <w:color w:val="000000"/>
                <w:sz w:val="20"/>
                <w:szCs w:val="20"/>
              </w:rPr>
            </w:pPr>
            <w:r>
              <w:rPr>
                <w:rFonts w:ascii="Arial" w:hAnsi="Arial" w:cs="Arial"/>
                <w:color w:val="000000"/>
                <w:sz w:val="20"/>
                <w:szCs w:val="20"/>
              </w:rPr>
              <w:t>0.25%</w:t>
            </w:r>
          </w:p>
        </w:tc>
        <w:tc>
          <w:tcPr>
            <w:tcW w:w="667" w:type="pct"/>
            <w:tcMar>
              <w:top w:w="0" w:type="dxa"/>
              <w:left w:w="45" w:type="dxa"/>
              <w:bottom w:w="0" w:type="dxa"/>
              <w:right w:w="45" w:type="dxa"/>
            </w:tcMar>
            <w:vAlign w:val="center"/>
            <w:hideMark/>
          </w:tcPr>
          <w:p w14:paraId="302427F5" w14:textId="77777777" w:rsidR="001173E0" w:rsidRDefault="001173E0" w:rsidP="00781F9A">
            <w:pPr>
              <w:jc w:val="center"/>
              <w:rPr>
                <w:rFonts w:ascii="Arial" w:hAnsi="Arial" w:cs="Arial"/>
                <w:color w:val="000000"/>
                <w:sz w:val="20"/>
                <w:szCs w:val="20"/>
              </w:rPr>
            </w:pPr>
            <w:r>
              <w:rPr>
                <w:rFonts w:ascii="Arial" w:hAnsi="Arial" w:cs="Arial"/>
                <w:color w:val="000000"/>
                <w:sz w:val="20"/>
                <w:szCs w:val="20"/>
              </w:rPr>
              <w:t>0.25%</w:t>
            </w:r>
          </w:p>
        </w:tc>
      </w:tr>
      <w:tr w:rsidR="001173E0" w14:paraId="4F089B5D" w14:textId="77777777" w:rsidTr="00781F9A">
        <w:tc>
          <w:tcPr>
            <w:tcW w:w="497" w:type="pct"/>
            <w:tcMar>
              <w:top w:w="0" w:type="dxa"/>
              <w:left w:w="45" w:type="dxa"/>
              <w:bottom w:w="0" w:type="dxa"/>
              <w:right w:w="45" w:type="dxa"/>
            </w:tcMar>
            <w:vAlign w:val="center"/>
            <w:hideMark/>
          </w:tcPr>
          <w:p w14:paraId="6C6D3E34" w14:textId="77777777" w:rsidR="001173E0" w:rsidRDefault="001173E0" w:rsidP="00781F9A">
            <w:pPr>
              <w:jc w:val="center"/>
              <w:rPr>
                <w:rFonts w:ascii="Arial" w:hAnsi="Arial" w:cs="Arial"/>
                <w:color w:val="000000"/>
                <w:sz w:val="20"/>
                <w:szCs w:val="20"/>
              </w:rPr>
            </w:pPr>
            <w:r>
              <w:rPr>
                <w:rFonts w:ascii="Arial" w:hAnsi="Arial" w:cs="Arial"/>
                <w:color w:val="000000"/>
                <w:sz w:val="20"/>
                <w:szCs w:val="20"/>
              </w:rPr>
              <w:t>(b)</w:t>
            </w:r>
          </w:p>
        </w:tc>
        <w:tc>
          <w:tcPr>
            <w:tcW w:w="3252" w:type="pct"/>
            <w:tcMar>
              <w:top w:w="0" w:type="dxa"/>
              <w:left w:w="45" w:type="dxa"/>
              <w:bottom w:w="0" w:type="dxa"/>
              <w:right w:w="45" w:type="dxa"/>
            </w:tcMar>
            <w:vAlign w:val="center"/>
            <w:hideMark/>
          </w:tcPr>
          <w:p w14:paraId="35F8513E" w14:textId="77777777" w:rsidR="001173E0" w:rsidRDefault="001173E0" w:rsidP="00781F9A">
            <w:pPr>
              <w:jc w:val="both"/>
              <w:rPr>
                <w:rFonts w:ascii="Arial" w:hAnsi="Arial" w:cs="Arial"/>
                <w:color w:val="000000"/>
                <w:sz w:val="20"/>
                <w:szCs w:val="20"/>
              </w:rPr>
            </w:pPr>
            <w:r>
              <w:rPr>
                <w:rFonts w:ascii="Arial" w:hAnsi="Arial" w:cs="Arial"/>
                <w:color w:val="000000"/>
                <w:sz w:val="20"/>
                <w:szCs w:val="20"/>
              </w:rPr>
              <w:t>Commercial Real Estate (CRE) sector</w:t>
            </w:r>
          </w:p>
        </w:tc>
        <w:tc>
          <w:tcPr>
            <w:tcW w:w="584" w:type="pct"/>
            <w:tcMar>
              <w:top w:w="0" w:type="dxa"/>
              <w:left w:w="45" w:type="dxa"/>
              <w:bottom w:w="0" w:type="dxa"/>
              <w:right w:w="45" w:type="dxa"/>
            </w:tcMar>
            <w:vAlign w:val="center"/>
            <w:hideMark/>
          </w:tcPr>
          <w:p w14:paraId="12519736" w14:textId="77777777" w:rsidR="001173E0" w:rsidRDefault="001173E0" w:rsidP="00781F9A">
            <w:pPr>
              <w:jc w:val="center"/>
              <w:rPr>
                <w:rFonts w:ascii="Arial" w:hAnsi="Arial" w:cs="Arial"/>
                <w:color w:val="000000"/>
                <w:sz w:val="20"/>
                <w:szCs w:val="20"/>
              </w:rPr>
            </w:pPr>
            <w:r>
              <w:rPr>
                <w:rFonts w:ascii="Arial" w:hAnsi="Arial" w:cs="Arial"/>
                <w:color w:val="000000"/>
                <w:sz w:val="20"/>
                <w:szCs w:val="20"/>
              </w:rPr>
              <w:t>1.00%</w:t>
            </w:r>
          </w:p>
        </w:tc>
        <w:tc>
          <w:tcPr>
            <w:tcW w:w="667" w:type="pct"/>
            <w:tcMar>
              <w:top w:w="0" w:type="dxa"/>
              <w:left w:w="45" w:type="dxa"/>
              <w:bottom w:w="0" w:type="dxa"/>
              <w:right w:w="45" w:type="dxa"/>
            </w:tcMar>
            <w:vAlign w:val="center"/>
            <w:hideMark/>
          </w:tcPr>
          <w:p w14:paraId="5F22A45E" w14:textId="77777777" w:rsidR="001173E0" w:rsidRDefault="001173E0" w:rsidP="00781F9A">
            <w:pPr>
              <w:jc w:val="center"/>
              <w:rPr>
                <w:rFonts w:ascii="Arial" w:hAnsi="Arial" w:cs="Arial"/>
                <w:color w:val="000000"/>
                <w:sz w:val="20"/>
                <w:szCs w:val="20"/>
              </w:rPr>
            </w:pPr>
            <w:r>
              <w:rPr>
                <w:rFonts w:ascii="Arial" w:hAnsi="Arial" w:cs="Arial"/>
                <w:color w:val="000000"/>
                <w:sz w:val="20"/>
                <w:szCs w:val="20"/>
              </w:rPr>
              <w:t>1.00%</w:t>
            </w:r>
          </w:p>
        </w:tc>
      </w:tr>
      <w:tr w:rsidR="001173E0" w14:paraId="78C37D09" w14:textId="77777777" w:rsidTr="00781F9A">
        <w:trPr>
          <w:trHeight w:val="374"/>
        </w:trPr>
        <w:tc>
          <w:tcPr>
            <w:tcW w:w="497" w:type="pct"/>
            <w:tcMar>
              <w:top w:w="0" w:type="dxa"/>
              <w:left w:w="45" w:type="dxa"/>
              <w:bottom w:w="0" w:type="dxa"/>
              <w:right w:w="45" w:type="dxa"/>
            </w:tcMar>
            <w:vAlign w:val="center"/>
            <w:hideMark/>
          </w:tcPr>
          <w:p w14:paraId="183D2A3C" w14:textId="77777777" w:rsidR="001173E0" w:rsidRDefault="001173E0" w:rsidP="00781F9A">
            <w:pPr>
              <w:jc w:val="center"/>
              <w:rPr>
                <w:rFonts w:ascii="Arial" w:hAnsi="Arial" w:cs="Arial"/>
                <w:color w:val="000000"/>
                <w:sz w:val="20"/>
                <w:szCs w:val="20"/>
              </w:rPr>
            </w:pPr>
            <w:r>
              <w:rPr>
                <w:rFonts w:ascii="Arial" w:hAnsi="Arial" w:cs="Arial"/>
                <w:color w:val="000000"/>
                <w:sz w:val="20"/>
                <w:szCs w:val="20"/>
              </w:rPr>
              <w:t>(c)</w:t>
            </w:r>
          </w:p>
        </w:tc>
        <w:tc>
          <w:tcPr>
            <w:tcW w:w="3252" w:type="pct"/>
            <w:tcMar>
              <w:top w:w="0" w:type="dxa"/>
              <w:left w:w="45" w:type="dxa"/>
              <w:bottom w:w="0" w:type="dxa"/>
              <w:right w:w="45" w:type="dxa"/>
            </w:tcMar>
            <w:vAlign w:val="center"/>
            <w:hideMark/>
          </w:tcPr>
          <w:p w14:paraId="7D8A0567" w14:textId="77777777" w:rsidR="001173E0" w:rsidRDefault="001173E0" w:rsidP="00781F9A">
            <w:pPr>
              <w:jc w:val="both"/>
              <w:rPr>
                <w:rFonts w:ascii="Arial" w:hAnsi="Arial" w:cs="Arial"/>
                <w:color w:val="000000"/>
                <w:sz w:val="20"/>
                <w:szCs w:val="20"/>
              </w:rPr>
            </w:pPr>
            <w:r>
              <w:rPr>
                <w:rFonts w:ascii="Arial" w:hAnsi="Arial" w:cs="Arial"/>
                <w:color w:val="000000"/>
                <w:sz w:val="20"/>
                <w:szCs w:val="20"/>
              </w:rPr>
              <w:t>Commercial Real Estate-Residential Housing Sector (CRE-RH)</w:t>
            </w:r>
          </w:p>
        </w:tc>
        <w:tc>
          <w:tcPr>
            <w:tcW w:w="584" w:type="pct"/>
            <w:tcMar>
              <w:top w:w="0" w:type="dxa"/>
              <w:left w:w="45" w:type="dxa"/>
              <w:bottom w:w="0" w:type="dxa"/>
              <w:right w:w="45" w:type="dxa"/>
            </w:tcMar>
            <w:vAlign w:val="center"/>
            <w:hideMark/>
          </w:tcPr>
          <w:p w14:paraId="32FE36CE" w14:textId="77777777" w:rsidR="001173E0" w:rsidRDefault="001173E0" w:rsidP="00781F9A">
            <w:pPr>
              <w:jc w:val="center"/>
              <w:rPr>
                <w:rFonts w:ascii="Arial" w:hAnsi="Arial" w:cs="Arial"/>
                <w:color w:val="000000"/>
                <w:sz w:val="20"/>
                <w:szCs w:val="20"/>
              </w:rPr>
            </w:pPr>
            <w:r>
              <w:rPr>
                <w:rFonts w:ascii="Arial" w:hAnsi="Arial" w:cs="Arial"/>
                <w:color w:val="000000"/>
                <w:sz w:val="20"/>
                <w:szCs w:val="20"/>
              </w:rPr>
              <w:t>0.75%</w:t>
            </w:r>
          </w:p>
        </w:tc>
        <w:tc>
          <w:tcPr>
            <w:tcW w:w="667" w:type="pct"/>
            <w:tcMar>
              <w:top w:w="0" w:type="dxa"/>
              <w:left w:w="45" w:type="dxa"/>
              <w:bottom w:w="0" w:type="dxa"/>
              <w:right w:w="45" w:type="dxa"/>
            </w:tcMar>
            <w:vAlign w:val="center"/>
            <w:hideMark/>
          </w:tcPr>
          <w:p w14:paraId="5D895660" w14:textId="77777777" w:rsidR="001173E0" w:rsidRDefault="001173E0" w:rsidP="00781F9A">
            <w:pPr>
              <w:jc w:val="center"/>
              <w:rPr>
                <w:rFonts w:ascii="Arial" w:hAnsi="Arial" w:cs="Arial"/>
                <w:color w:val="000000"/>
                <w:sz w:val="20"/>
                <w:szCs w:val="20"/>
              </w:rPr>
            </w:pPr>
            <w:r>
              <w:rPr>
                <w:rFonts w:ascii="Arial" w:hAnsi="Arial" w:cs="Arial"/>
                <w:color w:val="000000"/>
                <w:sz w:val="20"/>
                <w:szCs w:val="20"/>
              </w:rPr>
              <w:t>0.75%</w:t>
            </w:r>
          </w:p>
        </w:tc>
      </w:tr>
      <w:tr w:rsidR="001173E0" w14:paraId="4DCCA87C" w14:textId="77777777" w:rsidTr="00781F9A">
        <w:tc>
          <w:tcPr>
            <w:tcW w:w="497" w:type="pct"/>
            <w:tcMar>
              <w:top w:w="0" w:type="dxa"/>
              <w:left w:w="45" w:type="dxa"/>
              <w:bottom w:w="0" w:type="dxa"/>
              <w:right w:w="45" w:type="dxa"/>
            </w:tcMar>
            <w:vAlign w:val="center"/>
            <w:hideMark/>
          </w:tcPr>
          <w:p w14:paraId="7EA0AC24" w14:textId="77777777" w:rsidR="001173E0" w:rsidRDefault="001173E0" w:rsidP="00781F9A">
            <w:pPr>
              <w:jc w:val="center"/>
              <w:rPr>
                <w:rFonts w:ascii="Arial" w:hAnsi="Arial" w:cs="Arial"/>
                <w:color w:val="000000"/>
                <w:sz w:val="20"/>
                <w:szCs w:val="20"/>
              </w:rPr>
            </w:pPr>
            <w:r>
              <w:rPr>
                <w:rFonts w:ascii="Arial" w:hAnsi="Arial" w:cs="Arial"/>
                <w:color w:val="000000"/>
                <w:sz w:val="20"/>
                <w:szCs w:val="20"/>
              </w:rPr>
              <w:t>(d)</w:t>
            </w:r>
          </w:p>
        </w:tc>
        <w:tc>
          <w:tcPr>
            <w:tcW w:w="3252" w:type="pct"/>
            <w:tcMar>
              <w:top w:w="0" w:type="dxa"/>
              <w:left w:w="45" w:type="dxa"/>
              <w:bottom w:w="0" w:type="dxa"/>
              <w:right w:w="45" w:type="dxa"/>
            </w:tcMar>
            <w:vAlign w:val="center"/>
            <w:hideMark/>
          </w:tcPr>
          <w:p w14:paraId="74F8D43D" w14:textId="77777777" w:rsidR="001173E0" w:rsidRDefault="001173E0" w:rsidP="00781F9A">
            <w:pPr>
              <w:jc w:val="both"/>
              <w:rPr>
                <w:rFonts w:ascii="Arial" w:hAnsi="Arial" w:cs="Arial"/>
                <w:color w:val="000000"/>
                <w:sz w:val="20"/>
                <w:szCs w:val="20"/>
              </w:rPr>
            </w:pPr>
            <w:r>
              <w:rPr>
                <w:rFonts w:ascii="Arial" w:hAnsi="Arial" w:cs="Arial"/>
                <w:color w:val="000000"/>
                <w:sz w:val="20"/>
                <w:szCs w:val="20"/>
              </w:rPr>
              <w:t>All other loans and advances not included above</w:t>
            </w:r>
          </w:p>
        </w:tc>
        <w:tc>
          <w:tcPr>
            <w:tcW w:w="584" w:type="pct"/>
            <w:tcMar>
              <w:top w:w="0" w:type="dxa"/>
              <w:left w:w="45" w:type="dxa"/>
              <w:bottom w:w="0" w:type="dxa"/>
              <w:right w:w="45" w:type="dxa"/>
            </w:tcMar>
            <w:vAlign w:val="center"/>
            <w:hideMark/>
          </w:tcPr>
          <w:p w14:paraId="08F32F69" w14:textId="77777777" w:rsidR="001173E0" w:rsidRDefault="001173E0" w:rsidP="00781F9A">
            <w:pPr>
              <w:jc w:val="center"/>
              <w:rPr>
                <w:rFonts w:ascii="Arial" w:hAnsi="Arial" w:cs="Arial"/>
                <w:color w:val="000000"/>
                <w:sz w:val="20"/>
                <w:szCs w:val="20"/>
              </w:rPr>
            </w:pPr>
            <w:r>
              <w:rPr>
                <w:rFonts w:ascii="Arial" w:hAnsi="Arial" w:cs="Arial"/>
                <w:color w:val="000000"/>
                <w:sz w:val="20"/>
                <w:szCs w:val="20"/>
              </w:rPr>
              <w:t>0.40%</w:t>
            </w:r>
          </w:p>
        </w:tc>
        <w:tc>
          <w:tcPr>
            <w:tcW w:w="667" w:type="pct"/>
            <w:tcMar>
              <w:top w:w="0" w:type="dxa"/>
              <w:left w:w="45" w:type="dxa"/>
              <w:bottom w:w="0" w:type="dxa"/>
              <w:right w:w="45" w:type="dxa"/>
            </w:tcMar>
            <w:vAlign w:val="center"/>
            <w:hideMark/>
          </w:tcPr>
          <w:p w14:paraId="746E7D5F" w14:textId="77777777" w:rsidR="001173E0" w:rsidRDefault="001173E0" w:rsidP="00781F9A">
            <w:pPr>
              <w:jc w:val="center"/>
              <w:rPr>
                <w:rFonts w:ascii="Arial" w:hAnsi="Arial" w:cs="Arial"/>
                <w:color w:val="000000"/>
                <w:sz w:val="20"/>
                <w:szCs w:val="20"/>
              </w:rPr>
            </w:pPr>
            <w:r>
              <w:rPr>
                <w:rFonts w:ascii="Arial" w:hAnsi="Arial" w:cs="Arial"/>
                <w:color w:val="000000"/>
                <w:sz w:val="20"/>
                <w:szCs w:val="20"/>
              </w:rPr>
              <w:t>0.25%</w:t>
            </w:r>
          </w:p>
        </w:tc>
      </w:tr>
    </w:tbl>
    <w:p w14:paraId="3F688A5E"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3. On a review, it has been decided to harmonise the provisioning norms for standard assets applicable to all categories of UCBs, irrespective of their Tier in the revised framework.</w:t>
      </w:r>
    </w:p>
    <w:p w14:paraId="28911284" w14:textId="77777777" w:rsidR="001173E0" w:rsidRDefault="001173E0" w:rsidP="001173E0">
      <w:pPr>
        <w:pStyle w:val="NormalWeb"/>
        <w:spacing w:after="0" w:afterAutospacing="0"/>
        <w:jc w:val="both"/>
        <w:rPr>
          <w:rFonts w:ascii="Arial" w:hAnsi="Arial" w:cs="Arial"/>
          <w:color w:val="000000"/>
          <w:sz w:val="20"/>
          <w:szCs w:val="20"/>
        </w:rPr>
      </w:pPr>
      <w:r>
        <w:rPr>
          <w:rFonts w:ascii="Arial" w:hAnsi="Arial" w:cs="Arial"/>
          <w:color w:val="000000"/>
          <w:sz w:val="20"/>
          <w:szCs w:val="20"/>
        </w:rPr>
        <w:t>4. Accordingly, the standard asset provisioning norms applicable to Tier I, Tier 2, Tier 3 and Tier 4 UCBs under the revised framework shall be as under:</w:t>
      </w:r>
    </w:p>
    <w:p w14:paraId="608007AD" w14:textId="77777777" w:rsidR="001173E0" w:rsidRDefault="001173E0" w:rsidP="001173E0">
      <w:pPr>
        <w:pStyle w:val="NormalWeb"/>
        <w:numPr>
          <w:ilvl w:val="0"/>
          <w:numId w:val="2"/>
        </w:numPr>
        <w:spacing w:before="0" w:beforeAutospacing="0"/>
        <w:ind w:left="0"/>
        <w:jc w:val="both"/>
        <w:rPr>
          <w:rFonts w:ascii="Arial" w:hAnsi="Arial" w:cs="Arial"/>
          <w:color w:val="000000"/>
          <w:sz w:val="20"/>
          <w:szCs w:val="20"/>
        </w:rPr>
      </w:pPr>
      <w:r>
        <w:rPr>
          <w:rFonts w:ascii="Arial" w:hAnsi="Arial" w:cs="Arial"/>
          <w:color w:val="000000"/>
          <w:sz w:val="20"/>
          <w:szCs w:val="20"/>
        </w:rPr>
        <w:t>Direct advances to agriculture and SME sectors which are standard, shall attract a uniform provisioning requirement of 0.25 percent of the funded outstanding on a portfolio basis.</w:t>
      </w:r>
    </w:p>
    <w:p w14:paraId="2AB35AC1" w14:textId="77777777" w:rsidR="001173E0" w:rsidRDefault="001173E0" w:rsidP="001173E0">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Advances to commercial real estate (CRE) sector which are standard shall attract a uniform provisioning requirement of 1.00 percent of the funded outstanding on a portfolio basis.</w:t>
      </w:r>
    </w:p>
    <w:p w14:paraId="3DAD6EF6" w14:textId="77777777" w:rsidR="001173E0" w:rsidRDefault="001173E0" w:rsidP="001173E0">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For advances to commercial real estate - residential housing (CRE-RH) sector, which are standard, the provisioning requirement shall be 0.75 percent</w:t>
      </w:r>
    </w:p>
    <w:p w14:paraId="4186ACD5" w14:textId="77777777" w:rsidR="001173E0" w:rsidRDefault="001173E0" w:rsidP="001173E0">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For all other advances, banks shall maintain a uniform general standard asset provision of a minimum of 0.40 percent of the funded outstanding on a portfolio basis.</w:t>
      </w:r>
    </w:p>
    <w:p w14:paraId="66A13C92" w14:textId="77777777" w:rsidR="001173E0" w:rsidRDefault="001173E0" w:rsidP="001173E0">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14:paraId="529D9B08" w14:textId="77777777" w:rsidR="001173E0" w:rsidRDefault="001173E0" w:rsidP="001173E0">
      <w:pPr>
        <w:pStyle w:val="NormalWeb"/>
        <w:spacing w:before="0" w:beforeAutospacing="0"/>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035174A0" w14:textId="77777777" w:rsidR="001173E0" w:rsidRDefault="001173E0" w:rsidP="001173E0">
      <w:pPr>
        <w:spacing w:after="0"/>
      </w:pPr>
      <w:r>
        <w:t>More details can be referred to in the below link.</w:t>
      </w:r>
    </w:p>
    <w:p w14:paraId="353C8C38" w14:textId="66F3D51F" w:rsidR="001173E0" w:rsidRDefault="001173E0" w:rsidP="001173E0">
      <w:pPr>
        <w:rPr>
          <w:rStyle w:val="Hyperlink"/>
          <w:rFonts w:ascii="Arial" w:hAnsi="Arial" w:cs="Arial"/>
          <w:bCs/>
          <w:sz w:val="20"/>
          <w:szCs w:val="20"/>
        </w:rPr>
      </w:pPr>
      <w:r>
        <w:rPr>
          <w:rFonts w:ascii="Arial" w:hAnsi="Arial" w:cs="Arial"/>
          <w:bCs/>
          <w:color w:val="000000"/>
          <w:sz w:val="20"/>
          <w:szCs w:val="20"/>
        </w:rPr>
        <w:lastRenderedPageBreak/>
        <w:t xml:space="preserve">Reference Link:  </w:t>
      </w:r>
      <w:hyperlink r:id="rId17" w:history="1">
        <w:r w:rsidRPr="005F425E">
          <w:rPr>
            <w:rStyle w:val="Hyperlink"/>
            <w:rFonts w:ascii="Arial" w:hAnsi="Arial" w:cs="Arial"/>
            <w:bCs/>
            <w:sz w:val="20"/>
            <w:szCs w:val="20"/>
          </w:rPr>
          <w:t>https://rbi.org.in/Scripts/NotificationUser.aspx?Id=12491&amp;Mode=0</w:t>
        </w:r>
      </w:hyperlink>
      <w:bookmarkEnd w:id="7"/>
    </w:p>
    <w:p w14:paraId="57B7F239" w14:textId="77777777" w:rsidR="001173E0" w:rsidRDefault="001173E0" w:rsidP="001173E0">
      <w:pPr>
        <w:rPr>
          <w:rStyle w:val="Hyperlink"/>
          <w:rFonts w:ascii="Arial" w:hAnsi="Arial" w:cs="Arial"/>
          <w:bCs/>
          <w:sz w:val="20"/>
          <w:szCs w:val="20"/>
        </w:rPr>
      </w:pPr>
    </w:p>
    <w:p w14:paraId="11ABA249" w14:textId="77777777" w:rsidR="001173E0" w:rsidRDefault="001173E0" w:rsidP="001173E0">
      <w:pPr>
        <w:pStyle w:val="NormalWeb"/>
        <w:rPr>
          <w:rFonts w:ascii="Arial" w:hAnsi="Arial" w:cs="Arial"/>
          <w:b/>
          <w:bCs/>
          <w:color w:val="000000"/>
          <w:sz w:val="20"/>
          <w:szCs w:val="20"/>
        </w:rPr>
      </w:pPr>
      <w:bookmarkStart w:id="8" w:name="OLE_LINK61"/>
      <w:bookmarkStart w:id="9" w:name="_Hlk141830815"/>
      <w:r>
        <w:rPr>
          <w:rFonts w:ascii="Arial" w:hAnsi="Arial" w:cs="Arial"/>
          <w:b/>
          <w:bCs/>
          <w:color w:val="000000"/>
          <w:sz w:val="20"/>
          <w:szCs w:val="20"/>
        </w:rPr>
        <w:t>General Credit Card (GCC) Facility – Review</w:t>
      </w:r>
    </w:p>
    <w:bookmarkEnd w:id="8"/>
    <w:p w14:paraId="007D81D2"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RBI/2023-24/19</w:t>
      </w:r>
      <w:r>
        <w:rPr>
          <w:rFonts w:ascii="Arial" w:hAnsi="Arial" w:cs="Arial"/>
          <w:color w:val="000000"/>
          <w:sz w:val="20"/>
          <w:szCs w:val="20"/>
        </w:rPr>
        <w:br/>
        <w:t>FIDD.MSME &amp; NFS.BC.No.06/06.02.31/2023-24</w:t>
      </w:r>
    </w:p>
    <w:p w14:paraId="69EA0AB6" w14:textId="77777777" w:rsidR="001173E0" w:rsidRDefault="001173E0" w:rsidP="001173E0">
      <w:pPr>
        <w:pStyle w:val="NormalWeb"/>
        <w:jc w:val="right"/>
        <w:rPr>
          <w:rFonts w:ascii="Arial" w:hAnsi="Arial" w:cs="Arial"/>
          <w:color w:val="000000"/>
          <w:sz w:val="20"/>
          <w:szCs w:val="20"/>
        </w:rPr>
      </w:pPr>
      <w:r>
        <w:rPr>
          <w:rFonts w:ascii="Arial" w:hAnsi="Arial" w:cs="Arial"/>
          <w:color w:val="000000"/>
          <w:sz w:val="20"/>
          <w:szCs w:val="20"/>
        </w:rPr>
        <w:t>April 25, 2023</w:t>
      </w:r>
    </w:p>
    <w:p w14:paraId="52A9D583" w14:textId="77777777" w:rsidR="001173E0" w:rsidRDefault="001173E0" w:rsidP="001173E0">
      <w:pPr>
        <w:pStyle w:val="NormalWeb"/>
        <w:rPr>
          <w:rFonts w:ascii="Arial" w:hAnsi="Arial" w:cs="Arial"/>
          <w:color w:val="000000"/>
          <w:sz w:val="20"/>
          <w:szCs w:val="20"/>
        </w:rPr>
      </w:pPr>
      <w:r>
        <w:rPr>
          <w:rFonts w:ascii="Arial" w:hAnsi="Arial" w:cs="Arial"/>
          <w:color w:val="000000"/>
          <w:sz w:val="20"/>
          <w:szCs w:val="20"/>
        </w:rPr>
        <w:t>The Chairman/Managing Director/ Chief Executive Officer</w:t>
      </w:r>
      <w:r>
        <w:rPr>
          <w:rFonts w:ascii="Arial" w:hAnsi="Arial" w:cs="Arial"/>
          <w:color w:val="000000"/>
          <w:sz w:val="20"/>
          <w:szCs w:val="20"/>
        </w:rPr>
        <w:br/>
        <w:t>Scheduled Commercial Banks (excluding Payments Banks) and</w:t>
      </w:r>
      <w:r>
        <w:rPr>
          <w:rFonts w:ascii="Arial" w:hAnsi="Arial" w:cs="Arial"/>
          <w:color w:val="000000"/>
          <w:sz w:val="20"/>
          <w:szCs w:val="20"/>
        </w:rPr>
        <w:br/>
        <w:t>Scheduled Urban Co-operative Banks</w:t>
      </w:r>
    </w:p>
    <w:p w14:paraId="5870EF62"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Dear Sir / Madam</w:t>
      </w:r>
    </w:p>
    <w:p w14:paraId="7F9C78E9" w14:textId="77777777" w:rsidR="001173E0" w:rsidRDefault="001173E0" w:rsidP="001173E0">
      <w:pPr>
        <w:pStyle w:val="head"/>
        <w:jc w:val="both"/>
        <w:rPr>
          <w:rFonts w:ascii="Arial" w:hAnsi="Arial" w:cs="Arial"/>
          <w:b/>
          <w:bCs/>
          <w:color w:val="000000"/>
          <w:sz w:val="20"/>
          <w:szCs w:val="20"/>
        </w:rPr>
      </w:pPr>
      <w:r>
        <w:rPr>
          <w:rFonts w:ascii="Arial" w:hAnsi="Arial" w:cs="Arial"/>
          <w:b/>
          <w:bCs/>
          <w:color w:val="000000"/>
          <w:sz w:val="20"/>
          <w:szCs w:val="20"/>
        </w:rPr>
        <w:t>General Credit Card (GCC) Facility – Review</w:t>
      </w:r>
    </w:p>
    <w:p w14:paraId="30D77B94"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18" w:tgtFrame="_blank" w:history="1">
        <w:r>
          <w:rPr>
            <w:rStyle w:val="Hyperlink"/>
            <w:rFonts w:ascii="Arial" w:hAnsi="Arial" w:cs="Arial"/>
            <w:sz w:val="20"/>
            <w:szCs w:val="20"/>
          </w:rPr>
          <w:t>Circular RPCD.MSME &amp; NFS.BC.No.61/06.02.31/2013-14 dated December 02, 2013</w:t>
        </w:r>
      </w:hyperlink>
      <w:r>
        <w:rPr>
          <w:rFonts w:ascii="Arial" w:hAnsi="Arial" w:cs="Arial"/>
          <w:color w:val="000000"/>
          <w:sz w:val="20"/>
          <w:szCs w:val="20"/>
        </w:rPr>
        <w:t> on the Revised General Credit Card (GCC) Scheme.</w:t>
      </w:r>
    </w:p>
    <w:p w14:paraId="55ACBD33"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2. On review of the above, and in the light of the provisions contained in the </w:t>
      </w:r>
      <w:hyperlink r:id="rId19" w:tgtFrame="_blank" w:history="1">
        <w:r>
          <w:rPr>
            <w:rStyle w:val="Hyperlink"/>
            <w:rFonts w:ascii="Arial" w:hAnsi="Arial" w:cs="Arial"/>
            <w:sz w:val="20"/>
            <w:szCs w:val="20"/>
          </w:rPr>
          <w:t>Master Direction – Credit Card and Debit Card – Issuance and Conduct Directions, dated April 21, 2022</w:t>
        </w:r>
      </w:hyperlink>
      <w:r>
        <w:rPr>
          <w:rFonts w:ascii="Arial" w:hAnsi="Arial" w:cs="Arial"/>
          <w:color w:val="000000"/>
          <w:sz w:val="20"/>
          <w:szCs w:val="20"/>
        </w:rPr>
        <w:t>, revised instructions on GCC are as follows:</w:t>
      </w:r>
    </w:p>
    <w:p w14:paraId="5EE31E99" w14:textId="77777777" w:rsidR="001173E0" w:rsidRDefault="001173E0" w:rsidP="001173E0">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The GCC Scheme shall henceforth be called “General Credit Card (GCC) Facility”.</w:t>
      </w:r>
    </w:p>
    <w:p w14:paraId="4A19C1F3" w14:textId="77777777" w:rsidR="001173E0" w:rsidRDefault="001173E0" w:rsidP="001173E0">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The instructions shall apply to all banks which are eligible to issue credit cards under the above Master Direction.</w:t>
      </w:r>
    </w:p>
    <w:p w14:paraId="59327678" w14:textId="77777777" w:rsidR="001173E0" w:rsidRDefault="001173E0" w:rsidP="001173E0">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Individuals/entities sanctioned working capital facilities for non-farm entrepreneurial activities which are eligible for classification under the priority sector guidelines, may be issued General Credit Cards.</w:t>
      </w:r>
    </w:p>
    <w:p w14:paraId="7FF7C8B5" w14:textId="77777777" w:rsidR="001173E0" w:rsidRDefault="001173E0" w:rsidP="001173E0">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GCC shall be issued in the form of a credit card conforming to the stipulations in the above Master Direction as updated from time to time.</w:t>
      </w:r>
    </w:p>
    <w:p w14:paraId="5FDBD644" w14:textId="77777777" w:rsidR="001173E0" w:rsidRDefault="001173E0" w:rsidP="001173E0">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The terms and conditions of the credit facilities extended in the form of GCC shall be as per the Board approved policies of the banks, within the overall framework laid down by Reserve Bank. Guidelines on collateral free lending for micro and small units issued from time to time shall apply.</w:t>
      </w:r>
    </w:p>
    <w:p w14:paraId="0FB7DB21" w14:textId="77777777" w:rsidR="001173E0" w:rsidRDefault="001173E0" w:rsidP="001173E0">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Bank shall adhere to the instructions on reporting GCC data as issued by RBI from time to time.</w:t>
      </w:r>
    </w:p>
    <w:p w14:paraId="1B5E2E19"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3. These instructions supersede the GCC guidelines issued in December 2013 and come into effect as on the date of this circular. Debit cards, if any, already issued under the circular of 2013 shall remain valid till their expiry/repayment of the existing credit facilities, whichever is earlier.</w:t>
      </w:r>
    </w:p>
    <w:p w14:paraId="071B35E6"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Yours faithfully</w:t>
      </w:r>
    </w:p>
    <w:p w14:paraId="39EF709A" w14:textId="77777777" w:rsidR="001173E0" w:rsidRDefault="001173E0" w:rsidP="001173E0">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31BF98B1" w14:textId="77777777" w:rsidR="001173E0" w:rsidRDefault="001173E0" w:rsidP="001173E0">
      <w:pPr>
        <w:spacing w:after="0"/>
      </w:pPr>
      <w:r>
        <w:t>More details can be referred to in the below link.</w:t>
      </w:r>
    </w:p>
    <w:p w14:paraId="1E51827D" w14:textId="77777777" w:rsidR="001173E0" w:rsidRDefault="001173E0" w:rsidP="001173E0">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0" w:history="1">
        <w:r w:rsidRPr="005F425E">
          <w:rPr>
            <w:rStyle w:val="Hyperlink"/>
            <w:rFonts w:ascii="Arial" w:hAnsi="Arial" w:cs="Arial"/>
            <w:bCs/>
            <w:sz w:val="20"/>
            <w:szCs w:val="20"/>
          </w:rPr>
          <w:t>https://rbi.org.in/Scripts/NotificationUser.aspx?Id=12492&amp;Mode=0</w:t>
        </w:r>
      </w:hyperlink>
    </w:p>
    <w:p w14:paraId="3807B420" w14:textId="77777777" w:rsidR="001173E0" w:rsidRDefault="001173E0" w:rsidP="001173E0">
      <w:pPr>
        <w:pStyle w:val="NormalWeb"/>
        <w:rPr>
          <w:rFonts w:ascii="Arial" w:hAnsi="Arial" w:cs="Arial"/>
          <w:bCs/>
          <w:color w:val="000000"/>
          <w:sz w:val="20"/>
          <w:szCs w:val="20"/>
        </w:rPr>
      </w:pPr>
      <w:r>
        <w:rPr>
          <w:rFonts w:ascii="Arial" w:hAnsi="Arial" w:cs="Arial"/>
          <w:bCs/>
          <w:color w:val="000000"/>
          <w:sz w:val="20"/>
          <w:szCs w:val="20"/>
        </w:rPr>
        <w:tab/>
      </w:r>
    </w:p>
    <w:p w14:paraId="1A960ABE" w14:textId="77777777" w:rsidR="001173E0" w:rsidRDefault="001173E0" w:rsidP="001173E0">
      <w:pPr>
        <w:pStyle w:val="NormalWeb"/>
        <w:rPr>
          <w:rFonts w:ascii="Arial" w:hAnsi="Arial" w:cs="Arial"/>
          <w:bCs/>
          <w:color w:val="000000"/>
          <w:sz w:val="20"/>
          <w:szCs w:val="20"/>
        </w:rPr>
      </w:pPr>
    </w:p>
    <w:p w14:paraId="0926C9B5" w14:textId="77777777" w:rsidR="001173E0" w:rsidRDefault="001173E0" w:rsidP="001173E0">
      <w:pPr>
        <w:pStyle w:val="NormalWeb"/>
        <w:rPr>
          <w:rFonts w:ascii="Arial" w:hAnsi="Arial" w:cs="Arial"/>
          <w:bCs/>
          <w:color w:val="000000"/>
          <w:sz w:val="20"/>
          <w:szCs w:val="20"/>
        </w:rPr>
      </w:pPr>
    </w:p>
    <w:p w14:paraId="3014DE73" w14:textId="77777777" w:rsidR="001173E0" w:rsidRDefault="001173E0" w:rsidP="001173E0">
      <w:pPr>
        <w:pStyle w:val="NormalWeb"/>
        <w:rPr>
          <w:rFonts w:ascii="Arial" w:hAnsi="Arial" w:cs="Arial"/>
          <w:bCs/>
          <w:color w:val="000000"/>
          <w:sz w:val="20"/>
          <w:szCs w:val="20"/>
        </w:rPr>
      </w:pPr>
    </w:p>
    <w:bookmarkEnd w:id="9"/>
    <w:p w14:paraId="58F8CC7D" w14:textId="77777777" w:rsidR="001173E0" w:rsidRDefault="001173E0" w:rsidP="001173E0">
      <w:pPr>
        <w:rPr>
          <w:b/>
          <w:bCs/>
          <w:lang w:val="en-US"/>
        </w:rPr>
      </w:pPr>
    </w:p>
    <w:p w14:paraId="4C4D4696" w14:textId="77777777" w:rsidR="001173E0" w:rsidRDefault="001173E0" w:rsidP="001173E0">
      <w:pPr>
        <w:pStyle w:val="NormalWeb"/>
        <w:rPr>
          <w:rFonts w:ascii="Arial" w:hAnsi="Arial" w:cs="Arial"/>
          <w:b/>
          <w:bCs/>
          <w:color w:val="000000"/>
          <w:sz w:val="20"/>
          <w:szCs w:val="20"/>
        </w:rPr>
      </w:pPr>
      <w:bookmarkStart w:id="10" w:name="OLE_LINK62"/>
      <w:bookmarkStart w:id="11" w:name="_Hlk141830839"/>
      <w:r>
        <w:rPr>
          <w:rFonts w:ascii="Arial" w:hAnsi="Arial" w:cs="Arial"/>
          <w:b/>
          <w:bCs/>
          <w:color w:val="000000"/>
          <w:sz w:val="20"/>
          <w:szCs w:val="20"/>
        </w:rPr>
        <w:t xml:space="preserve">Master Circular – </w:t>
      </w:r>
      <w:proofErr w:type="spellStart"/>
      <w:r>
        <w:rPr>
          <w:rFonts w:ascii="Arial" w:hAnsi="Arial" w:cs="Arial"/>
          <w:b/>
          <w:bCs/>
          <w:color w:val="000000"/>
          <w:sz w:val="20"/>
          <w:szCs w:val="20"/>
        </w:rPr>
        <w:t>Deendayal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Antyodaya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Yojana</w:t>
      </w:r>
      <w:proofErr w:type="spellEnd"/>
      <w:r>
        <w:rPr>
          <w:rFonts w:ascii="Arial" w:hAnsi="Arial" w:cs="Arial"/>
          <w:b/>
          <w:bCs/>
          <w:color w:val="000000"/>
          <w:sz w:val="20"/>
          <w:szCs w:val="20"/>
        </w:rPr>
        <w:t xml:space="preserve"> - National Rural Livelihoods Mission (DAY-NRLM)</w:t>
      </w:r>
    </w:p>
    <w:bookmarkEnd w:id="10"/>
    <w:p w14:paraId="4B99B358"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RBI/2023-24/20</w:t>
      </w:r>
      <w:r>
        <w:rPr>
          <w:rFonts w:ascii="Arial" w:hAnsi="Arial" w:cs="Arial"/>
          <w:color w:val="000000"/>
          <w:sz w:val="20"/>
          <w:szCs w:val="20"/>
        </w:rPr>
        <w:br/>
        <w:t>FIDD.GSSD.CO.BC.No.07/09.01.003/2023-24</w:t>
      </w:r>
    </w:p>
    <w:p w14:paraId="6282226A" w14:textId="77777777" w:rsidR="001173E0" w:rsidRDefault="001173E0" w:rsidP="001173E0">
      <w:pPr>
        <w:pStyle w:val="NormalWeb"/>
        <w:jc w:val="right"/>
        <w:rPr>
          <w:rFonts w:ascii="Arial" w:hAnsi="Arial" w:cs="Arial"/>
          <w:color w:val="000000"/>
          <w:sz w:val="20"/>
          <w:szCs w:val="20"/>
        </w:rPr>
      </w:pPr>
      <w:r>
        <w:rPr>
          <w:rFonts w:ascii="Arial" w:hAnsi="Arial" w:cs="Arial"/>
          <w:color w:val="000000"/>
          <w:sz w:val="20"/>
          <w:szCs w:val="20"/>
        </w:rPr>
        <w:t>April 26, 2023</w:t>
      </w:r>
    </w:p>
    <w:p w14:paraId="356F287B" w14:textId="77777777" w:rsidR="001173E0" w:rsidRDefault="001173E0" w:rsidP="001173E0">
      <w:pPr>
        <w:pStyle w:val="NormalWeb"/>
        <w:rPr>
          <w:rFonts w:ascii="Arial" w:hAnsi="Arial" w:cs="Arial"/>
          <w:color w:val="000000"/>
          <w:sz w:val="20"/>
          <w:szCs w:val="20"/>
        </w:rPr>
      </w:pPr>
      <w:r>
        <w:rPr>
          <w:rFonts w:ascii="Arial" w:hAnsi="Arial" w:cs="Arial"/>
          <w:color w:val="000000"/>
          <w:sz w:val="20"/>
          <w:szCs w:val="20"/>
        </w:rPr>
        <w:t>The Chairman/Managing Director &amp; CEO</w:t>
      </w:r>
      <w:r>
        <w:rPr>
          <w:rFonts w:ascii="Arial" w:hAnsi="Arial" w:cs="Arial"/>
          <w:color w:val="000000"/>
          <w:sz w:val="20"/>
          <w:szCs w:val="20"/>
        </w:rPr>
        <w:br/>
        <w:t>Public Sector Banks,</w:t>
      </w:r>
      <w:r>
        <w:rPr>
          <w:rFonts w:ascii="Arial" w:hAnsi="Arial" w:cs="Arial"/>
          <w:color w:val="000000"/>
          <w:sz w:val="20"/>
          <w:szCs w:val="20"/>
        </w:rPr>
        <w:br/>
        <w:t>Private Sector Banks (including Small Finance Banks)</w:t>
      </w:r>
    </w:p>
    <w:p w14:paraId="0470C6B6"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Madam/Dear Sir,</w:t>
      </w:r>
    </w:p>
    <w:p w14:paraId="7583E74A" w14:textId="77777777" w:rsidR="001173E0" w:rsidRDefault="001173E0" w:rsidP="001173E0">
      <w:pPr>
        <w:pStyle w:val="head"/>
        <w:jc w:val="both"/>
        <w:rPr>
          <w:rFonts w:ascii="Arial" w:hAnsi="Arial" w:cs="Arial"/>
          <w:b/>
          <w:bCs/>
          <w:color w:val="000000"/>
          <w:sz w:val="20"/>
          <w:szCs w:val="20"/>
        </w:rPr>
      </w:pPr>
      <w:r>
        <w:rPr>
          <w:rFonts w:ascii="Arial" w:hAnsi="Arial" w:cs="Arial"/>
          <w:b/>
          <w:bCs/>
          <w:color w:val="000000"/>
          <w:sz w:val="20"/>
          <w:szCs w:val="20"/>
        </w:rPr>
        <w:t xml:space="preserve">Master Circular – </w:t>
      </w:r>
      <w:proofErr w:type="spellStart"/>
      <w:r>
        <w:rPr>
          <w:rFonts w:ascii="Arial" w:hAnsi="Arial" w:cs="Arial"/>
          <w:b/>
          <w:bCs/>
          <w:color w:val="000000"/>
          <w:sz w:val="20"/>
          <w:szCs w:val="20"/>
        </w:rPr>
        <w:t>Deendayal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Antyodaya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Yojana</w:t>
      </w:r>
      <w:proofErr w:type="spellEnd"/>
      <w:r>
        <w:rPr>
          <w:rFonts w:ascii="Arial" w:hAnsi="Arial" w:cs="Arial"/>
          <w:b/>
          <w:bCs/>
          <w:color w:val="000000"/>
          <w:sz w:val="20"/>
          <w:szCs w:val="20"/>
        </w:rPr>
        <w:t xml:space="preserve"> - National Rural Livelihoods Mission (DAY-NRLM)</w:t>
      </w:r>
    </w:p>
    <w:p w14:paraId="604D0468"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21" w:tgtFrame="_blank" w:history="1">
        <w:r>
          <w:rPr>
            <w:rStyle w:val="Hyperlink"/>
            <w:rFonts w:ascii="Arial" w:hAnsi="Arial" w:cs="Arial"/>
            <w:sz w:val="20"/>
            <w:szCs w:val="20"/>
          </w:rPr>
          <w:t>Master Circular FIDD.GSSD.CO.BC.No.09/09.01.003/2022-23 dated July 20, 2022</w:t>
        </w:r>
      </w:hyperlink>
      <w:r>
        <w:rPr>
          <w:rFonts w:ascii="Arial" w:hAnsi="Arial" w:cs="Arial"/>
          <w:color w:val="000000"/>
          <w:sz w:val="20"/>
          <w:szCs w:val="20"/>
        </w:rPr>
        <w:t xml:space="preserve"> on </w:t>
      </w:r>
      <w:proofErr w:type="spellStart"/>
      <w:r>
        <w:rPr>
          <w:rFonts w:ascii="Arial" w:hAnsi="Arial" w:cs="Arial"/>
          <w:color w:val="000000"/>
          <w:sz w:val="20"/>
          <w:szCs w:val="20"/>
        </w:rPr>
        <w:t>Deendayal</w:t>
      </w:r>
      <w:proofErr w:type="spellEnd"/>
      <w:r>
        <w:rPr>
          <w:rFonts w:ascii="Arial" w:hAnsi="Arial" w:cs="Arial"/>
          <w:color w:val="000000"/>
          <w:sz w:val="20"/>
          <w:szCs w:val="20"/>
        </w:rPr>
        <w:t xml:space="preserve"> </w:t>
      </w:r>
      <w:proofErr w:type="spellStart"/>
      <w:r>
        <w:rPr>
          <w:rFonts w:ascii="Arial" w:hAnsi="Arial" w:cs="Arial"/>
          <w:color w:val="000000"/>
          <w:sz w:val="20"/>
          <w:szCs w:val="20"/>
        </w:rPr>
        <w:t>Antyodaya</w:t>
      </w:r>
      <w:proofErr w:type="spellEnd"/>
      <w:r>
        <w:rPr>
          <w:rFonts w:ascii="Arial" w:hAnsi="Arial" w:cs="Arial"/>
          <w:color w:val="000000"/>
          <w:sz w:val="20"/>
          <w:szCs w:val="20"/>
        </w:rPr>
        <w:t xml:space="preserve"> </w:t>
      </w:r>
      <w:proofErr w:type="spellStart"/>
      <w:r>
        <w:rPr>
          <w:rFonts w:ascii="Arial" w:hAnsi="Arial" w:cs="Arial"/>
          <w:color w:val="000000"/>
          <w:sz w:val="20"/>
          <w:szCs w:val="20"/>
        </w:rPr>
        <w:t>Yojana</w:t>
      </w:r>
      <w:proofErr w:type="spellEnd"/>
      <w:r>
        <w:rPr>
          <w:rFonts w:ascii="Arial" w:hAnsi="Arial" w:cs="Arial"/>
          <w:color w:val="000000"/>
          <w:sz w:val="20"/>
          <w:szCs w:val="20"/>
        </w:rPr>
        <w:t xml:space="preserve"> - National Rural Livelihoods Mission (DAY-NRLM).</w:t>
      </w:r>
    </w:p>
    <w:p w14:paraId="05AEF3CF"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2. The enclosed </w:t>
      </w:r>
      <w:hyperlink r:id="rId22"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instructions/guidelines on the subject issued till date and replaces the earlier Master Circular issued on the subject.</w:t>
      </w:r>
    </w:p>
    <w:p w14:paraId="23CC0080"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Yours faithfully,</w:t>
      </w:r>
    </w:p>
    <w:p w14:paraId="643C0018" w14:textId="77777777" w:rsidR="001173E0" w:rsidRDefault="001173E0" w:rsidP="001173E0">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6CDC9180" w14:textId="77777777" w:rsidR="001173E0" w:rsidRDefault="001173E0" w:rsidP="001173E0">
      <w:pPr>
        <w:pStyle w:val="NormalWeb"/>
        <w:rPr>
          <w:rFonts w:ascii="Arial" w:hAnsi="Arial" w:cs="Arial"/>
          <w:color w:val="000000"/>
          <w:sz w:val="20"/>
          <w:szCs w:val="20"/>
        </w:rPr>
      </w:pPr>
    </w:p>
    <w:p w14:paraId="64C6D435" w14:textId="77777777" w:rsidR="001173E0" w:rsidRDefault="001173E0" w:rsidP="001173E0">
      <w:pPr>
        <w:spacing w:after="0"/>
      </w:pPr>
      <w:r>
        <w:t>More details can be referred to in the below link.</w:t>
      </w:r>
    </w:p>
    <w:p w14:paraId="3AC7E712" w14:textId="77777777" w:rsidR="001173E0" w:rsidRDefault="001173E0" w:rsidP="001173E0">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3" w:history="1">
        <w:r w:rsidRPr="005F425E">
          <w:rPr>
            <w:rStyle w:val="Hyperlink"/>
            <w:rFonts w:ascii="Arial" w:hAnsi="Arial" w:cs="Arial"/>
            <w:bCs/>
            <w:sz w:val="20"/>
            <w:szCs w:val="20"/>
          </w:rPr>
          <w:t>https://rbi.org.in/Scripts/NotificationUser.aspx?Id=12493&amp;Mode=0</w:t>
        </w:r>
      </w:hyperlink>
    </w:p>
    <w:p w14:paraId="21F87402" w14:textId="77777777" w:rsidR="001173E0" w:rsidRDefault="001173E0" w:rsidP="001173E0">
      <w:pPr>
        <w:pStyle w:val="NormalWeb"/>
        <w:rPr>
          <w:rFonts w:ascii="Arial" w:hAnsi="Arial" w:cs="Arial"/>
          <w:bCs/>
          <w:color w:val="000000"/>
          <w:sz w:val="20"/>
          <w:szCs w:val="20"/>
        </w:rPr>
      </w:pPr>
    </w:p>
    <w:p w14:paraId="53873BBB" w14:textId="77777777" w:rsidR="001173E0" w:rsidRDefault="001173E0" w:rsidP="001173E0">
      <w:pPr>
        <w:pStyle w:val="NormalWeb"/>
        <w:rPr>
          <w:rFonts w:ascii="Arial" w:hAnsi="Arial" w:cs="Arial"/>
          <w:bCs/>
          <w:color w:val="000000"/>
          <w:sz w:val="20"/>
          <w:szCs w:val="20"/>
        </w:rPr>
      </w:pPr>
    </w:p>
    <w:p w14:paraId="060B47F5" w14:textId="77777777" w:rsidR="001173E0" w:rsidRDefault="001173E0" w:rsidP="001173E0">
      <w:pPr>
        <w:pStyle w:val="NormalWeb"/>
        <w:rPr>
          <w:rFonts w:ascii="Arial" w:hAnsi="Arial" w:cs="Arial"/>
          <w:bCs/>
          <w:color w:val="000000"/>
          <w:sz w:val="20"/>
          <w:szCs w:val="20"/>
        </w:rPr>
      </w:pPr>
    </w:p>
    <w:p w14:paraId="79D43F5E" w14:textId="77777777" w:rsidR="001173E0" w:rsidRDefault="001173E0" w:rsidP="001173E0">
      <w:pPr>
        <w:pStyle w:val="NormalWeb"/>
        <w:rPr>
          <w:rFonts w:ascii="Arial" w:hAnsi="Arial" w:cs="Arial"/>
          <w:bCs/>
          <w:color w:val="000000"/>
          <w:sz w:val="20"/>
          <w:szCs w:val="20"/>
        </w:rPr>
      </w:pPr>
    </w:p>
    <w:p w14:paraId="5E8FF048" w14:textId="77777777" w:rsidR="001173E0" w:rsidRDefault="001173E0" w:rsidP="001173E0">
      <w:pPr>
        <w:pStyle w:val="NormalWeb"/>
        <w:rPr>
          <w:rFonts w:ascii="Arial" w:hAnsi="Arial" w:cs="Arial"/>
          <w:bCs/>
          <w:color w:val="000000"/>
          <w:sz w:val="20"/>
          <w:szCs w:val="20"/>
        </w:rPr>
      </w:pPr>
    </w:p>
    <w:p w14:paraId="5301F32A" w14:textId="77777777" w:rsidR="001173E0" w:rsidRDefault="001173E0" w:rsidP="001173E0">
      <w:pPr>
        <w:pStyle w:val="NormalWeb"/>
        <w:rPr>
          <w:rFonts w:ascii="Arial" w:hAnsi="Arial" w:cs="Arial"/>
          <w:bCs/>
          <w:color w:val="000000"/>
          <w:sz w:val="20"/>
          <w:szCs w:val="20"/>
        </w:rPr>
      </w:pPr>
    </w:p>
    <w:p w14:paraId="0CDA7983" w14:textId="77777777" w:rsidR="001173E0" w:rsidRDefault="001173E0" w:rsidP="001173E0">
      <w:pPr>
        <w:pStyle w:val="NormalWeb"/>
        <w:rPr>
          <w:rFonts w:ascii="Arial" w:hAnsi="Arial" w:cs="Arial"/>
          <w:bCs/>
          <w:color w:val="000000"/>
          <w:sz w:val="20"/>
          <w:szCs w:val="20"/>
        </w:rPr>
      </w:pPr>
    </w:p>
    <w:p w14:paraId="3474559B" w14:textId="77777777" w:rsidR="001173E0" w:rsidRDefault="001173E0" w:rsidP="001173E0">
      <w:pPr>
        <w:pStyle w:val="NormalWeb"/>
        <w:rPr>
          <w:rFonts w:ascii="Arial" w:hAnsi="Arial" w:cs="Arial"/>
          <w:bCs/>
          <w:color w:val="000000"/>
          <w:sz w:val="20"/>
          <w:szCs w:val="20"/>
        </w:rPr>
      </w:pPr>
    </w:p>
    <w:p w14:paraId="6E04EBEE" w14:textId="77777777" w:rsidR="001173E0" w:rsidRDefault="001173E0" w:rsidP="001173E0">
      <w:pPr>
        <w:pStyle w:val="NormalWeb"/>
        <w:rPr>
          <w:rFonts w:ascii="Arial" w:hAnsi="Arial" w:cs="Arial"/>
          <w:bCs/>
          <w:color w:val="000000"/>
          <w:sz w:val="20"/>
          <w:szCs w:val="20"/>
        </w:rPr>
      </w:pPr>
    </w:p>
    <w:p w14:paraId="4DDBF462" w14:textId="77777777" w:rsidR="001173E0" w:rsidRDefault="001173E0" w:rsidP="001173E0">
      <w:pPr>
        <w:pStyle w:val="NormalWeb"/>
        <w:rPr>
          <w:rFonts w:ascii="Arial" w:hAnsi="Arial" w:cs="Arial"/>
          <w:bCs/>
          <w:color w:val="000000"/>
          <w:sz w:val="20"/>
          <w:szCs w:val="20"/>
        </w:rPr>
      </w:pPr>
    </w:p>
    <w:bookmarkEnd w:id="11"/>
    <w:p w14:paraId="1B8E28A6" w14:textId="77777777" w:rsidR="001173E0" w:rsidRDefault="001173E0" w:rsidP="001173E0">
      <w:pPr>
        <w:rPr>
          <w:b/>
          <w:bCs/>
          <w:lang w:val="en-US"/>
        </w:rPr>
      </w:pPr>
    </w:p>
    <w:p w14:paraId="0CAD0F0F" w14:textId="77777777" w:rsidR="001173E0" w:rsidRDefault="001173E0" w:rsidP="001173E0">
      <w:pPr>
        <w:pStyle w:val="NormalWeb"/>
        <w:spacing w:before="240" w:beforeAutospacing="0"/>
        <w:rPr>
          <w:rFonts w:ascii="Arial" w:hAnsi="Arial" w:cs="Arial"/>
          <w:b/>
          <w:bCs/>
          <w:color w:val="000000"/>
          <w:sz w:val="20"/>
          <w:szCs w:val="20"/>
        </w:rPr>
      </w:pPr>
      <w:bookmarkStart w:id="12" w:name="OLE_LINK68"/>
      <w:bookmarkStart w:id="13" w:name="_Hlk141826500"/>
      <w:r>
        <w:rPr>
          <w:rFonts w:ascii="Arial" w:hAnsi="Arial" w:cs="Arial"/>
          <w:b/>
          <w:bCs/>
          <w:color w:val="000000"/>
          <w:sz w:val="20"/>
          <w:szCs w:val="20"/>
        </w:rPr>
        <w:t>Master Circular - Income Recognition, Asset Classification, Provisioning and Other Related Matters – UCBs</w:t>
      </w:r>
    </w:p>
    <w:bookmarkEnd w:id="12"/>
    <w:p w14:paraId="66276D6A"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RBI/2023-24/26</w:t>
      </w:r>
      <w:r>
        <w:rPr>
          <w:rFonts w:ascii="Arial" w:hAnsi="Arial" w:cs="Arial"/>
          <w:color w:val="000000"/>
          <w:sz w:val="20"/>
          <w:szCs w:val="20"/>
        </w:rPr>
        <w:br/>
        <w:t>DOR.STR.REC.14/21.04.048/2023-24</w:t>
      </w:r>
    </w:p>
    <w:p w14:paraId="119D79D7" w14:textId="77777777" w:rsidR="001173E0" w:rsidRDefault="001173E0" w:rsidP="001173E0">
      <w:pPr>
        <w:pStyle w:val="NormalWeb"/>
        <w:jc w:val="right"/>
        <w:rPr>
          <w:rFonts w:ascii="Arial" w:hAnsi="Arial" w:cs="Arial"/>
          <w:color w:val="000000"/>
          <w:sz w:val="20"/>
          <w:szCs w:val="20"/>
        </w:rPr>
      </w:pPr>
      <w:r>
        <w:rPr>
          <w:rFonts w:ascii="Arial" w:hAnsi="Arial" w:cs="Arial"/>
          <w:color w:val="000000"/>
          <w:sz w:val="20"/>
          <w:szCs w:val="20"/>
        </w:rPr>
        <w:t>May 08, 2023</w:t>
      </w:r>
    </w:p>
    <w:p w14:paraId="6157EA05" w14:textId="77777777" w:rsidR="001173E0" w:rsidRDefault="001173E0" w:rsidP="001173E0">
      <w:pPr>
        <w:pStyle w:val="NormalWeb"/>
        <w:rPr>
          <w:rFonts w:ascii="Arial" w:hAnsi="Arial" w:cs="Arial"/>
          <w:color w:val="000000"/>
          <w:sz w:val="20"/>
          <w:szCs w:val="20"/>
        </w:rPr>
      </w:pPr>
      <w:r>
        <w:rPr>
          <w:rFonts w:ascii="Arial" w:hAnsi="Arial" w:cs="Arial"/>
          <w:color w:val="000000"/>
          <w:sz w:val="20"/>
          <w:szCs w:val="20"/>
        </w:rPr>
        <w:t>The Chief Executive Officers</w:t>
      </w:r>
      <w:r>
        <w:rPr>
          <w:rFonts w:ascii="Arial" w:hAnsi="Arial" w:cs="Arial"/>
          <w:color w:val="000000"/>
          <w:sz w:val="20"/>
          <w:szCs w:val="20"/>
        </w:rPr>
        <w:br/>
        <w:t>All Primary (Urban) Co-operative Banks</w:t>
      </w:r>
    </w:p>
    <w:p w14:paraId="04B9B582"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Madam / Dear Sir,</w:t>
      </w:r>
    </w:p>
    <w:p w14:paraId="63750115" w14:textId="77777777" w:rsidR="001173E0" w:rsidRDefault="001173E0" w:rsidP="001173E0">
      <w:pPr>
        <w:pStyle w:val="head"/>
        <w:jc w:val="both"/>
        <w:rPr>
          <w:rFonts w:ascii="Arial" w:hAnsi="Arial" w:cs="Arial"/>
          <w:b/>
          <w:bCs/>
          <w:color w:val="000000"/>
          <w:sz w:val="20"/>
          <w:szCs w:val="20"/>
        </w:rPr>
      </w:pPr>
      <w:r>
        <w:rPr>
          <w:rFonts w:ascii="Arial" w:hAnsi="Arial" w:cs="Arial"/>
          <w:b/>
          <w:bCs/>
          <w:color w:val="000000"/>
          <w:sz w:val="20"/>
          <w:szCs w:val="20"/>
        </w:rPr>
        <w:t>Master Circular - Income Recognition, Asset Classification, Provisioning and Other Related Matters - UCBs</w:t>
      </w:r>
    </w:p>
    <w:p w14:paraId="1AB78010"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24" w:tgtFrame="_blank" w:history="1">
        <w:r>
          <w:rPr>
            <w:rStyle w:val="Hyperlink"/>
            <w:rFonts w:ascii="Arial" w:hAnsi="Arial" w:cs="Arial"/>
            <w:sz w:val="20"/>
            <w:szCs w:val="20"/>
          </w:rPr>
          <w:t>Master Circular DOR.STR.REC.5/21.04.048/2022-23 dated April 1, 2022</w:t>
        </w:r>
      </w:hyperlink>
      <w:r>
        <w:rPr>
          <w:rFonts w:ascii="Arial" w:hAnsi="Arial" w:cs="Arial"/>
          <w:color w:val="000000"/>
          <w:sz w:val="20"/>
          <w:szCs w:val="20"/>
        </w:rPr>
        <w:t> on the captioned subject. The enclosed </w:t>
      </w:r>
      <w:hyperlink r:id="rId25"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till date as listed in the </w:t>
      </w:r>
      <w:hyperlink r:id="rId26" w:anchor="AN9" w:history="1">
        <w:r>
          <w:rPr>
            <w:rStyle w:val="Hyperlink"/>
            <w:rFonts w:ascii="Arial" w:hAnsi="Arial" w:cs="Arial"/>
            <w:sz w:val="20"/>
            <w:szCs w:val="20"/>
          </w:rPr>
          <w:t>Annex 9</w:t>
        </w:r>
      </w:hyperlink>
      <w:r>
        <w:rPr>
          <w:rFonts w:ascii="Arial" w:hAnsi="Arial" w:cs="Arial"/>
          <w:color w:val="000000"/>
          <w:sz w:val="20"/>
          <w:szCs w:val="20"/>
        </w:rPr>
        <w:t>.</w:t>
      </w:r>
    </w:p>
    <w:p w14:paraId="0CB89BD7"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Yours faithfully</w:t>
      </w:r>
    </w:p>
    <w:p w14:paraId="213F3929" w14:textId="77777777" w:rsidR="001173E0" w:rsidRDefault="001173E0" w:rsidP="001173E0">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11809A43" w14:textId="77777777" w:rsidR="001173E0" w:rsidRDefault="001173E0" w:rsidP="001173E0">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0DAAB0F1" w14:textId="77777777" w:rsidR="001173E0" w:rsidRDefault="001173E0" w:rsidP="001173E0">
      <w:pPr>
        <w:pStyle w:val="NormalWeb"/>
        <w:spacing w:before="240" w:beforeAutospacing="0"/>
        <w:rPr>
          <w:rFonts w:ascii="Arial" w:hAnsi="Arial" w:cs="Arial"/>
          <w:bCs/>
          <w:color w:val="000000"/>
          <w:sz w:val="20"/>
          <w:szCs w:val="20"/>
        </w:rPr>
      </w:pPr>
    </w:p>
    <w:p w14:paraId="6852D4A8" w14:textId="77777777" w:rsidR="001173E0" w:rsidRDefault="001173E0" w:rsidP="001173E0">
      <w:pPr>
        <w:spacing w:before="240" w:after="0"/>
      </w:pPr>
      <w:r>
        <w:t>More details can be referred to in the below link.</w:t>
      </w:r>
    </w:p>
    <w:p w14:paraId="4CB51955" w14:textId="77777777" w:rsidR="001173E0" w:rsidRDefault="001173E0" w:rsidP="001173E0">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27" w:history="1">
        <w:r w:rsidRPr="005F425E">
          <w:rPr>
            <w:rStyle w:val="Hyperlink"/>
            <w:rFonts w:ascii="Arial" w:hAnsi="Arial" w:cs="Arial"/>
            <w:bCs/>
            <w:sz w:val="20"/>
            <w:szCs w:val="20"/>
          </w:rPr>
          <w:t>https://rbi.org.in/Scripts/NotificationUser.aspx?Id=12499&amp;Mode=0</w:t>
        </w:r>
      </w:hyperlink>
    </w:p>
    <w:p w14:paraId="5A99A5B9" w14:textId="77777777" w:rsidR="001173E0" w:rsidRDefault="001173E0" w:rsidP="001173E0">
      <w:pPr>
        <w:pStyle w:val="NormalWeb"/>
        <w:spacing w:before="240" w:beforeAutospacing="0"/>
        <w:rPr>
          <w:rFonts w:ascii="Arial" w:hAnsi="Arial" w:cs="Arial"/>
          <w:bCs/>
          <w:color w:val="000000"/>
          <w:sz w:val="20"/>
          <w:szCs w:val="20"/>
        </w:rPr>
      </w:pPr>
    </w:p>
    <w:p w14:paraId="53778DDC" w14:textId="77777777" w:rsidR="001173E0" w:rsidRDefault="001173E0" w:rsidP="001173E0">
      <w:pPr>
        <w:pStyle w:val="NormalWeb"/>
        <w:spacing w:before="240" w:beforeAutospacing="0"/>
        <w:rPr>
          <w:rFonts w:ascii="Arial" w:hAnsi="Arial" w:cs="Arial"/>
          <w:bCs/>
          <w:color w:val="000000"/>
          <w:sz w:val="20"/>
          <w:szCs w:val="20"/>
        </w:rPr>
      </w:pPr>
    </w:p>
    <w:p w14:paraId="2C8A2117" w14:textId="77777777" w:rsidR="001173E0" w:rsidRDefault="001173E0" w:rsidP="001173E0">
      <w:pPr>
        <w:pStyle w:val="NormalWeb"/>
        <w:spacing w:before="240" w:beforeAutospacing="0"/>
        <w:rPr>
          <w:rFonts w:ascii="Arial" w:hAnsi="Arial" w:cs="Arial"/>
          <w:bCs/>
          <w:color w:val="000000"/>
          <w:sz w:val="20"/>
          <w:szCs w:val="20"/>
        </w:rPr>
      </w:pPr>
    </w:p>
    <w:p w14:paraId="4A2445F9" w14:textId="77777777" w:rsidR="001173E0" w:rsidRDefault="001173E0" w:rsidP="001173E0">
      <w:pPr>
        <w:pStyle w:val="NormalWeb"/>
        <w:spacing w:before="240" w:beforeAutospacing="0"/>
        <w:rPr>
          <w:rFonts w:ascii="Arial" w:hAnsi="Arial" w:cs="Arial"/>
          <w:bCs/>
          <w:color w:val="000000"/>
          <w:sz w:val="20"/>
          <w:szCs w:val="20"/>
        </w:rPr>
      </w:pPr>
    </w:p>
    <w:p w14:paraId="6C9D3A65" w14:textId="77777777" w:rsidR="001173E0" w:rsidRDefault="001173E0" w:rsidP="001173E0">
      <w:pPr>
        <w:pStyle w:val="NormalWeb"/>
        <w:spacing w:before="240" w:beforeAutospacing="0"/>
        <w:rPr>
          <w:rFonts w:ascii="Arial" w:hAnsi="Arial" w:cs="Arial"/>
          <w:bCs/>
          <w:color w:val="000000"/>
          <w:sz w:val="20"/>
          <w:szCs w:val="20"/>
        </w:rPr>
      </w:pPr>
    </w:p>
    <w:p w14:paraId="66D625D5" w14:textId="77777777" w:rsidR="001173E0" w:rsidRDefault="001173E0" w:rsidP="001173E0">
      <w:pPr>
        <w:pStyle w:val="NormalWeb"/>
        <w:spacing w:before="240" w:beforeAutospacing="0"/>
        <w:rPr>
          <w:rFonts w:ascii="Arial" w:hAnsi="Arial" w:cs="Arial"/>
          <w:bCs/>
          <w:color w:val="000000"/>
          <w:sz w:val="20"/>
          <w:szCs w:val="20"/>
        </w:rPr>
      </w:pPr>
    </w:p>
    <w:p w14:paraId="40764102" w14:textId="77777777" w:rsidR="001173E0" w:rsidRDefault="001173E0" w:rsidP="001173E0">
      <w:pPr>
        <w:pStyle w:val="NormalWeb"/>
        <w:spacing w:before="240" w:beforeAutospacing="0"/>
        <w:rPr>
          <w:rFonts w:ascii="Arial" w:hAnsi="Arial" w:cs="Arial"/>
          <w:bCs/>
          <w:color w:val="000000"/>
          <w:sz w:val="20"/>
          <w:szCs w:val="20"/>
        </w:rPr>
      </w:pPr>
    </w:p>
    <w:p w14:paraId="13A8C165" w14:textId="77777777" w:rsidR="001173E0" w:rsidRDefault="001173E0" w:rsidP="001173E0">
      <w:pPr>
        <w:pStyle w:val="NormalWeb"/>
        <w:spacing w:before="240" w:beforeAutospacing="0"/>
        <w:rPr>
          <w:rFonts w:ascii="Arial" w:hAnsi="Arial" w:cs="Arial"/>
          <w:bCs/>
          <w:color w:val="000000"/>
          <w:sz w:val="20"/>
          <w:szCs w:val="20"/>
        </w:rPr>
      </w:pPr>
    </w:p>
    <w:p w14:paraId="4C100719" w14:textId="77777777" w:rsidR="001173E0" w:rsidRDefault="001173E0" w:rsidP="001173E0">
      <w:pPr>
        <w:pStyle w:val="NormalWeb"/>
        <w:spacing w:before="240" w:beforeAutospacing="0"/>
        <w:rPr>
          <w:rFonts w:ascii="Arial" w:hAnsi="Arial" w:cs="Arial"/>
          <w:bCs/>
          <w:color w:val="000000"/>
          <w:sz w:val="20"/>
          <w:szCs w:val="20"/>
        </w:rPr>
      </w:pPr>
    </w:p>
    <w:p w14:paraId="1DED27E5" w14:textId="77777777" w:rsidR="001173E0" w:rsidRDefault="001173E0" w:rsidP="001173E0">
      <w:pPr>
        <w:pStyle w:val="NormalWeb"/>
        <w:spacing w:before="240" w:beforeAutospacing="0"/>
        <w:rPr>
          <w:rFonts w:ascii="Arial" w:hAnsi="Arial" w:cs="Arial"/>
          <w:bCs/>
          <w:color w:val="000000"/>
          <w:sz w:val="20"/>
          <w:szCs w:val="20"/>
        </w:rPr>
      </w:pPr>
    </w:p>
    <w:bookmarkEnd w:id="13"/>
    <w:p w14:paraId="3D55A0D9" w14:textId="77777777" w:rsidR="001173E0" w:rsidRDefault="001173E0" w:rsidP="001173E0">
      <w:pPr>
        <w:rPr>
          <w:b/>
          <w:bCs/>
          <w:lang w:val="en-US"/>
        </w:rPr>
      </w:pPr>
    </w:p>
    <w:p w14:paraId="5F70848E" w14:textId="77777777" w:rsidR="001173E0" w:rsidRDefault="001173E0" w:rsidP="001173E0">
      <w:pPr>
        <w:pStyle w:val="NormalWeb"/>
        <w:spacing w:before="240" w:beforeAutospacing="0"/>
        <w:rPr>
          <w:rFonts w:ascii="Arial" w:hAnsi="Arial" w:cs="Arial"/>
          <w:b/>
          <w:bCs/>
          <w:color w:val="000000"/>
          <w:sz w:val="20"/>
          <w:szCs w:val="20"/>
        </w:rPr>
      </w:pPr>
      <w:bookmarkStart w:id="14" w:name="OLE_LINK69"/>
      <w:bookmarkStart w:id="15" w:name="_Hlk141825311"/>
      <w:r>
        <w:rPr>
          <w:rFonts w:ascii="Arial" w:hAnsi="Arial" w:cs="Arial"/>
          <w:b/>
          <w:bCs/>
          <w:color w:val="000000"/>
          <w:sz w:val="20"/>
          <w:szCs w:val="20"/>
        </w:rPr>
        <w:t>Formalisation of Informal Micro Enterprises on Udyam Assist Platform</w:t>
      </w:r>
    </w:p>
    <w:bookmarkEnd w:id="14"/>
    <w:p w14:paraId="7A9A2BC0"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RBI/2023-24/27</w:t>
      </w:r>
      <w:r>
        <w:rPr>
          <w:rFonts w:ascii="Arial" w:hAnsi="Arial" w:cs="Arial"/>
          <w:color w:val="000000"/>
          <w:sz w:val="20"/>
          <w:szCs w:val="20"/>
        </w:rPr>
        <w:br/>
        <w:t>FIDD.MSME &amp; NFS.BC.No.09/06.02.31/2023-24</w:t>
      </w:r>
    </w:p>
    <w:p w14:paraId="078D61BC" w14:textId="77777777" w:rsidR="001173E0" w:rsidRDefault="001173E0" w:rsidP="001173E0">
      <w:pPr>
        <w:pStyle w:val="NormalWeb"/>
        <w:jc w:val="right"/>
        <w:rPr>
          <w:rFonts w:ascii="Arial" w:hAnsi="Arial" w:cs="Arial"/>
          <w:color w:val="000000"/>
          <w:sz w:val="20"/>
          <w:szCs w:val="20"/>
        </w:rPr>
      </w:pPr>
      <w:r>
        <w:rPr>
          <w:rFonts w:ascii="Arial" w:hAnsi="Arial" w:cs="Arial"/>
          <w:color w:val="000000"/>
          <w:sz w:val="20"/>
          <w:szCs w:val="20"/>
        </w:rPr>
        <w:t>May 09, 2023</w:t>
      </w:r>
    </w:p>
    <w:p w14:paraId="55EB1BDF" w14:textId="77777777" w:rsidR="001173E0" w:rsidRDefault="001173E0" w:rsidP="001173E0">
      <w:pPr>
        <w:pStyle w:val="NormalWeb"/>
        <w:rPr>
          <w:rFonts w:ascii="Arial" w:hAnsi="Arial" w:cs="Arial"/>
          <w:color w:val="000000"/>
          <w:sz w:val="20"/>
          <w:szCs w:val="20"/>
        </w:rPr>
      </w:pPr>
      <w:r>
        <w:rPr>
          <w:rFonts w:ascii="Arial" w:hAnsi="Arial" w:cs="Arial"/>
          <w:color w:val="000000"/>
          <w:sz w:val="20"/>
          <w:szCs w:val="20"/>
        </w:rPr>
        <w:t>The Chairman/ Managing Director/Chief Executive Officer</w:t>
      </w:r>
      <w:r>
        <w:rPr>
          <w:rFonts w:ascii="Arial" w:hAnsi="Arial" w:cs="Arial"/>
          <w:color w:val="000000"/>
          <w:sz w:val="20"/>
          <w:szCs w:val="20"/>
        </w:rPr>
        <w:br/>
        <w:t>All Commercial Banks</w:t>
      </w:r>
      <w:r>
        <w:rPr>
          <w:rFonts w:ascii="Arial" w:hAnsi="Arial" w:cs="Arial"/>
          <w:color w:val="000000"/>
          <w:sz w:val="20"/>
          <w:szCs w:val="20"/>
        </w:rPr>
        <w:br/>
        <w:t>(including Small Finance Banks, Local Area Banks and Regional Rural Banks)</w:t>
      </w:r>
      <w:r>
        <w:rPr>
          <w:rFonts w:ascii="Arial" w:hAnsi="Arial" w:cs="Arial"/>
          <w:color w:val="000000"/>
          <w:sz w:val="20"/>
          <w:szCs w:val="20"/>
        </w:rPr>
        <w:br/>
        <w:t>All Primary (Urban) Co-operative Banks/State Co-operative Banks</w:t>
      </w:r>
      <w:r>
        <w:rPr>
          <w:rFonts w:ascii="Arial" w:hAnsi="Arial" w:cs="Arial"/>
          <w:color w:val="000000"/>
          <w:sz w:val="20"/>
          <w:szCs w:val="20"/>
        </w:rPr>
        <w:br/>
        <w:t>/ District Central Co-operative Banks</w:t>
      </w:r>
      <w:r>
        <w:rPr>
          <w:rFonts w:ascii="Arial" w:hAnsi="Arial" w:cs="Arial"/>
          <w:color w:val="000000"/>
          <w:sz w:val="20"/>
          <w:szCs w:val="20"/>
        </w:rPr>
        <w:br/>
        <w:t>All-India Financial Institutions</w:t>
      </w:r>
      <w:r>
        <w:rPr>
          <w:rFonts w:ascii="Arial" w:hAnsi="Arial" w:cs="Arial"/>
          <w:color w:val="000000"/>
          <w:sz w:val="20"/>
          <w:szCs w:val="20"/>
        </w:rPr>
        <w:br/>
        <w:t>All Non-Banking Financial Companies</w:t>
      </w:r>
    </w:p>
    <w:p w14:paraId="37992B27"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Dear Sir / Madam</w:t>
      </w:r>
    </w:p>
    <w:p w14:paraId="0A195BA7" w14:textId="77777777" w:rsidR="001173E0" w:rsidRDefault="001173E0" w:rsidP="001173E0">
      <w:pPr>
        <w:pStyle w:val="head"/>
        <w:jc w:val="both"/>
        <w:rPr>
          <w:rFonts w:ascii="Arial" w:hAnsi="Arial" w:cs="Arial"/>
          <w:b/>
          <w:bCs/>
          <w:color w:val="000000"/>
          <w:sz w:val="20"/>
          <w:szCs w:val="20"/>
        </w:rPr>
      </w:pPr>
      <w:r>
        <w:rPr>
          <w:rFonts w:ascii="Arial" w:hAnsi="Arial" w:cs="Arial"/>
          <w:b/>
          <w:bCs/>
          <w:color w:val="000000"/>
          <w:sz w:val="20"/>
          <w:szCs w:val="20"/>
        </w:rPr>
        <w:t>Formalisation of Informal Micro Enterprises on Udyam Assist Platform</w:t>
      </w:r>
    </w:p>
    <w:p w14:paraId="09DDB90A"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28" w:tgtFrame="_blank" w:history="1">
        <w:r>
          <w:rPr>
            <w:rStyle w:val="Hyperlink"/>
            <w:rFonts w:ascii="Arial" w:hAnsi="Arial" w:cs="Arial"/>
            <w:sz w:val="20"/>
            <w:szCs w:val="20"/>
          </w:rPr>
          <w:t>Circular FIDD.MSME &amp; NFS.BC.No.4/06.02.31/2020-21 dated August 21, 2020</w:t>
        </w:r>
      </w:hyperlink>
      <w:r>
        <w:rPr>
          <w:rFonts w:ascii="Arial" w:hAnsi="Arial" w:cs="Arial"/>
          <w:color w:val="000000"/>
          <w:sz w:val="20"/>
          <w:szCs w:val="20"/>
        </w:rPr>
        <w:t> on ‘New Definition of Micro, Small and Medium Enterprises – clarifications’ wherein all lenders were advised to obtain ‘Udyam Registration Certificate’ for classification of entities as MSME.</w:t>
      </w:r>
    </w:p>
    <w:p w14:paraId="1A105DEC"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2. The Ministry of Micro, Small and Medium Enterprises (‘MSME’), Government of India has launched the Udyam Assist Platform (UAP) to facilitate formalisation of Informal Micro Enterprises (IMEs) through online generation of Udyam Assist Certificate. Registration on the platform is done with the assistance of Designated Agencies which are RBI regulated entities (including scheduled commercial banks, non-banking financial companies, etc.).</w:t>
      </w:r>
    </w:p>
    <w:p w14:paraId="00EFDD70"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3. The Government of India, vide </w:t>
      </w:r>
      <w:hyperlink r:id="rId29" w:tgtFrame="_blank" w:history="1">
        <w:r>
          <w:rPr>
            <w:rStyle w:val="Hyperlink"/>
            <w:rFonts w:ascii="Arial" w:hAnsi="Arial" w:cs="Arial"/>
            <w:sz w:val="20"/>
            <w:szCs w:val="20"/>
          </w:rPr>
          <w:t>Gazette Notification S.O. 1296(E) dated March 20, 2023</w:t>
        </w:r>
      </w:hyperlink>
      <w:r>
        <w:rPr>
          <w:rFonts w:ascii="Arial" w:hAnsi="Arial" w:cs="Arial"/>
          <w:color w:val="000000"/>
          <w:sz w:val="20"/>
          <w:szCs w:val="20"/>
        </w:rPr>
        <w:t>, has specified that the certificate issued on the UAP to IMEs shall be treated at par with Udyam Registration Certificate for the purpose of availing Priority Sector Lending (PSL) benefits.</w:t>
      </w:r>
    </w:p>
    <w:p w14:paraId="0D0EB5BB"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4. Government of India has clarified to RBI that IMEs are those enterprises which are unable to get registered on the Udyam Registration Portal (URP) due to lack of mandatory required documents such as Permanent Account Number (PAN) or Goods and Services Tax Identification Number (GSTIN). Hence such enterprises are unable to avail the benefits of Government schemes or programmes. Further, it has been clarified that the turnover of enterprises exempted from filing returns under the provisions of the Central Goods and Services Tax Act, 2017 shall be the sole criterion to be defined as IMEs for the purpose of UAP. Accordingly, IMEs are those enterprises that are not covered in the Goods and Services Tax regime.</w:t>
      </w:r>
    </w:p>
    <w:p w14:paraId="085E8893"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5. An interface has been created between the UAP and Udyam Registration Portal (URP) to enable the transition and migration of the IMEs from UAP to URP, once IMEs obtain the mandatorily required documents.</w:t>
      </w:r>
    </w:p>
    <w:p w14:paraId="2DAA32E0"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6. In view of the aforementioned notification and clarification, IMEs with an Udyam Assist Certificate shall be treated as Micro Enterprises under MSME for the purposes of PSL classification.</w:t>
      </w:r>
    </w:p>
    <w:p w14:paraId="756E97CC"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Yours faithfully</w:t>
      </w:r>
    </w:p>
    <w:p w14:paraId="2EC25C31" w14:textId="77777777" w:rsidR="001173E0" w:rsidRPr="00CF0AC9" w:rsidRDefault="001173E0" w:rsidP="001173E0">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71579565" w14:textId="77777777" w:rsidR="001173E0" w:rsidRDefault="001173E0" w:rsidP="001173E0">
      <w:pPr>
        <w:spacing w:before="240" w:after="0"/>
      </w:pPr>
      <w:r>
        <w:lastRenderedPageBreak/>
        <w:t>More details can be referred to in the below link.</w:t>
      </w:r>
    </w:p>
    <w:p w14:paraId="480B3C7A" w14:textId="77777777" w:rsidR="001173E0" w:rsidRDefault="001173E0" w:rsidP="001173E0">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30" w:history="1">
        <w:r w:rsidRPr="005F425E">
          <w:rPr>
            <w:rStyle w:val="Hyperlink"/>
            <w:rFonts w:ascii="Arial" w:hAnsi="Arial" w:cs="Arial"/>
            <w:bCs/>
            <w:sz w:val="20"/>
            <w:szCs w:val="20"/>
          </w:rPr>
          <w:t>https://rbi.org.in/Scripts/NotificationUser.aspx?Id=12500&amp;Mode=0</w:t>
        </w:r>
      </w:hyperlink>
    </w:p>
    <w:p w14:paraId="293FE97C" w14:textId="77777777" w:rsidR="001173E0" w:rsidRDefault="001173E0" w:rsidP="001173E0">
      <w:pPr>
        <w:pStyle w:val="NormalWeb"/>
        <w:spacing w:before="240" w:beforeAutospacing="0"/>
        <w:rPr>
          <w:rFonts w:ascii="Arial" w:hAnsi="Arial" w:cs="Arial"/>
          <w:b/>
          <w:bCs/>
          <w:color w:val="000000"/>
          <w:sz w:val="20"/>
          <w:szCs w:val="20"/>
        </w:rPr>
      </w:pPr>
      <w:bookmarkStart w:id="16" w:name="_Hlk141832932"/>
      <w:bookmarkStart w:id="17" w:name="_Hlk141826655"/>
      <w:bookmarkEnd w:id="15"/>
      <w:r>
        <w:rPr>
          <w:rFonts w:ascii="Arial" w:hAnsi="Arial" w:cs="Arial"/>
          <w:b/>
          <w:bCs/>
          <w:color w:val="000000"/>
          <w:sz w:val="20"/>
          <w:szCs w:val="20"/>
        </w:rPr>
        <w:t>Expanding the Scope of Trade Receivables Discounting System</w:t>
      </w:r>
    </w:p>
    <w:p w14:paraId="13ED0D98" w14:textId="77777777" w:rsidR="001173E0" w:rsidRDefault="001173E0" w:rsidP="001173E0">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RBI/2023-24/37</w:t>
      </w:r>
      <w:r>
        <w:rPr>
          <w:rFonts w:ascii="Arial" w:hAnsi="Arial" w:cs="Arial"/>
          <w:color w:val="000000"/>
          <w:sz w:val="20"/>
          <w:szCs w:val="20"/>
        </w:rPr>
        <w:br/>
        <w:t>CO.DPSS.POLC.No.S-258/02-01-010/2023-24</w:t>
      </w:r>
    </w:p>
    <w:p w14:paraId="082F4801" w14:textId="77777777" w:rsidR="001173E0" w:rsidRDefault="001173E0" w:rsidP="001173E0">
      <w:pPr>
        <w:pStyle w:val="NormalWeb"/>
        <w:jc w:val="right"/>
        <w:rPr>
          <w:rFonts w:ascii="Arial" w:hAnsi="Arial" w:cs="Arial"/>
          <w:color w:val="000000"/>
          <w:sz w:val="20"/>
          <w:szCs w:val="20"/>
        </w:rPr>
      </w:pPr>
      <w:r>
        <w:rPr>
          <w:rFonts w:ascii="Arial" w:hAnsi="Arial" w:cs="Arial"/>
          <w:color w:val="000000"/>
          <w:sz w:val="20"/>
          <w:szCs w:val="20"/>
        </w:rPr>
        <w:t>June 7, 2023</w:t>
      </w:r>
    </w:p>
    <w:p w14:paraId="18EA024B" w14:textId="77777777" w:rsidR="001173E0" w:rsidRDefault="001173E0" w:rsidP="001173E0">
      <w:pPr>
        <w:pStyle w:val="NormalWeb"/>
        <w:rPr>
          <w:rFonts w:ascii="Arial" w:hAnsi="Arial" w:cs="Arial"/>
          <w:color w:val="000000"/>
          <w:sz w:val="20"/>
          <w:szCs w:val="20"/>
        </w:rPr>
      </w:pPr>
      <w:r>
        <w:rPr>
          <w:rFonts w:ascii="Arial" w:hAnsi="Arial" w:cs="Arial"/>
          <w:color w:val="000000"/>
          <w:sz w:val="20"/>
          <w:szCs w:val="20"/>
        </w:rPr>
        <w:t>The Trade Receivables Discounting System Platform Operators and Participants /</w:t>
      </w:r>
      <w:r>
        <w:rPr>
          <w:rFonts w:ascii="Arial" w:hAnsi="Arial" w:cs="Arial"/>
          <w:color w:val="000000"/>
          <w:sz w:val="20"/>
          <w:szCs w:val="20"/>
        </w:rPr>
        <w:br/>
        <w:t>National Payments Corporation of India (NPCI)</w:t>
      </w:r>
    </w:p>
    <w:p w14:paraId="6466A600"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Madam / Dear Sir,</w:t>
      </w:r>
    </w:p>
    <w:p w14:paraId="50FB3507" w14:textId="77777777" w:rsidR="001173E0" w:rsidRDefault="001173E0" w:rsidP="001173E0">
      <w:pPr>
        <w:pStyle w:val="head"/>
        <w:jc w:val="both"/>
        <w:rPr>
          <w:rFonts w:ascii="Arial" w:hAnsi="Arial" w:cs="Arial"/>
          <w:b/>
          <w:bCs/>
          <w:color w:val="000000"/>
          <w:sz w:val="20"/>
          <w:szCs w:val="20"/>
        </w:rPr>
      </w:pPr>
      <w:r>
        <w:rPr>
          <w:rFonts w:ascii="Arial" w:hAnsi="Arial" w:cs="Arial"/>
          <w:b/>
          <w:bCs/>
          <w:color w:val="000000"/>
          <w:sz w:val="20"/>
          <w:szCs w:val="20"/>
        </w:rPr>
        <w:t>Expanding the Scope of Trade Receivables Discounting System</w:t>
      </w:r>
    </w:p>
    <w:p w14:paraId="502E1E04"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To ease constraints faced by Micro, Small and Medium Enterprises (MSMEs) in converting their trade receivables to liquid funds, the Reserve Bank of India (RBI) had issued the ‘</w:t>
      </w:r>
      <w:hyperlink r:id="rId31" w:tgtFrame="_blank" w:history="1">
        <w:r>
          <w:rPr>
            <w:rStyle w:val="Hyperlink"/>
            <w:rFonts w:ascii="Arial" w:hAnsi="Arial" w:cs="Arial"/>
            <w:sz w:val="20"/>
            <w:szCs w:val="20"/>
          </w:rPr>
          <w:t>Guidelines for the Trade Receivables Discounting System (</w:t>
        </w:r>
        <w:proofErr w:type="spellStart"/>
        <w:r>
          <w:rPr>
            <w:rStyle w:val="Hyperlink"/>
            <w:rFonts w:ascii="Arial" w:hAnsi="Arial" w:cs="Arial"/>
            <w:sz w:val="20"/>
            <w:szCs w:val="20"/>
          </w:rPr>
          <w:t>TReDS</w:t>
        </w:r>
        <w:proofErr w:type="spellEnd"/>
        <w:r>
          <w:rPr>
            <w:rStyle w:val="Hyperlink"/>
            <w:rFonts w:ascii="Arial" w:hAnsi="Arial" w:cs="Arial"/>
            <w:sz w:val="20"/>
            <w:szCs w:val="20"/>
          </w:rPr>
          <w:t>)</w:t>
        </w:r>
      </w:hyperlink>
      <w:r>
        <w:rPr>
          <w:rFonts w:ascii="Arial" w:hAnsi="Arial" w:cs="Arial"/>
          <w:color w:val="000000"/>
          <w:sz w:val="20"/>
          <w:szCs w:val="20"/>
        </w:rPr>
        <w:t xml:space="preserve">’ (updated as on July 2, 2018). The guidelines allow financing / discounting of MSME receivables on “without recourse” basis by permitted financiers. Currently, three entities operate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platforms in the country; one more entity has also been given in-principle authorisation to operate such platform.</w:t>
      </w:r>
    </w:p>
    <w:p w14:paraId="14425C71"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2. Based on the experience gained, and as announced in the </w:t>
      </w:r>
      <w:hyperlink r:id="rId32" w:tgtFrame="_blank" w:history="1">
        <w:r>
          <w:rPr>
            <w:rStyle w:val="Hyperlink"/>
            <w:rFonts w:ascii="Arial" w:hAnsi="Arial" w:cs="Arial"/>
            <w:sz w:val="20"/>
            <w:szCs w:val="20"/>
          </w:rPr>
          <w:t>Statement on Developmental and Regulatory Policies dated February 8, 2023</w:t>
        </w:r>
      </w:hyperlink>
      <w:r>
        <w:rPr>
          <w:rFonts w:ascii="Arial" w:hAnsi="Arial" w:cs="Arial"/>
          <w:color w:val="000000"/>
          <w:sz w:val="20"/>
          <w:szCs w:val="20"/>
        </w:rPr>
        <w:t xml:space="preserve">, it has been decided to make the following enhancements to the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guidelines :</w:t>
      </w:r>
    </w:p>
    <w:p w14:paraId="50E11E7C"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a) </w:t>
      </w:r>
      <w:r>
        <w:rPr>
          <w:rFonts w:ascii="Arial" w:hAnsi="Arial" w:cs="Arial"/>
          <w:color w:val="000000"/>
          <w:sz w:val="20"/>
          <w:szCs w:val="20"/>
          <w:u w:val="single"/>
        </w:rPr>
        <w:t xml:space="preserve">Facilitate insurance for </w:t>
      </w:r>
      <w:proofErr w:type="gramStart"/>
      <w:r>
        <w:rPr>
          <w:rFonts w:ascii="Arial" w:hAnsi="Arial" w:cs="Arial"/>
          <w:color w:val="000000"/>
          <w:sz w:val="20"/>
          <w:szCs w:val="20"/>
          <w:u w:val="single"/>
        </w:rPr>
        <w:t>transactions</w:t>
      </w:r>
      <w:r>
        <w:rPr>
          <w:rFonts w:ascii="Arial" w:hAnsi="Arial" w:cs="Arial"/>
          <w:color w:val="000000"/>
          <w:sz w:val="20"/>
          <w:szCs w:val="20"/>
        </w:rPr>
        <w:t> :</w:t>
      </w:r>
      <w:proofErr w:type="gramEnd"/>
      <w:r>
        <w:rPr>
          <w:rFonts w:ascii="Arial" w:hAnsi="Arial" w:cs="Arial"/>
          <w:color w:val="000000"/>
          <w:sz w:val="20"/>
          <w:szCs w:val="20"/>
        </w:rPr>
        <w:t xml:space="preserve"> Financiers place their bids on the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platforms keeping in view the credit rating of buyers. They are generally not inclined to bid for payables of low rated buyers. To overcome this, insurance facility is being permitted for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transactions, which would aid financiers to hedge default risks, subject to the following:</w:t>
      </w:r>
    </w:p>
    <w:p w14:paraId="675B672B" w14:textId="77777777" w:rsidR="001173E0" w:rsidRDefault="001173E0" w:rsidP="001173E0">
      <w:pPr>
        <w:pStyle w:val="NormalWeb"/>
        <w:numPr>
          <w:ilvl w:val="0"/>
          <w:numId w:val="4"/>
        </w:numPr>
        <w:ind w:left="0"/>
        <w:jc w:val="both"/>
        <w:rPr>
          <w:rFonts w:ascii="Arial" w:hAnsi="Arial" w:cs="Arial"/>
          <w:color w:val="000000"/>
          <w:sz w:val="20"/>
          <w:szCs w:val="20"/>
        </w:rPr>
      </w:pPr>
      <w:r>
        <w:rPr>
          <w:rFonts w:ascii="Arial" w:hAnsi="Arial" w:cs="Arial"/>
          <w:color w:val="000000"/>
          <w:sz w:val="20"/>
          <w:szCs w:val="20"/>
        </w:rPr>
        <w:t xml:space="preserve">Apart from MSME sellers, buyers and financiers, insurance companies are permitted to participate as “fourth participant” in </w:t>
      </w:r>
      <w:proofErr w:type="spellStart"/>
      <w:r>
        <w:rPr>
          <w:rFonts w:ascii="Arial" w:hAnsi="Arial" w:cs="Arial"/>
          <w:color w:val="000000"/>
          <w:sz w:val="20"/>
          <w:szCs w:val="20"/>
        </w:rPr>
        <w:t>TReDS</w:t>
      </w:r>
      <w:proofErr w:type="spellEnd"/>
      <w:r>
        <w:rPr>
          <w:rFonts w:ascii="Arial" w:hAnsi="Arial" w:cs="Arial"/>
          <w:color w:val="000000"/>
          <w:sz w:val="20"/>
          <w:szCs w:val="20"/>
        </w:rPr>
        <w:t>.</w:t>
      </w:r>
    </w:p>
    <w:p w14:paraId="3891BA95" w14:textId="77777777" w:rsidR="001173E0" w:rsidRDefault="001173E0" w:rsidP="001173E0">
      <w:pPr>
        <w:pStyle w:val="NormalWeb"/>
        <w:numPr>
          <w:ilvl w:val="0"/>
          <w:numId w:val="4"/>
        </w:numPr>
        <w:ind w:left="0"/>
        <w:jc w:val="both"/>
        <w:rPr>
          <w:rFonts w:ascii="Arial" w:hAnsi="Arial" w:cs="Arial"/>
          <w:color w:val="000000"/>
          <w:sz w:val="20"/>
          <w:szCs w:val="20"/>
        </w:rPr>
      </w:pPr>
      <w:r>
        <w:rPr>
          <w:rFonts w:ascii="Arial" w:hAnsi="Arial" w:cs="Arial"/>
          <w:color w:val="000000"/>
          <w:sz w:val="20"/>
          <w:szCs w:val="20"/>
        </w:rPr>
        <w:t xml:space="preserve">In their business / operational rules, the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platform operators may specify the stage at which insurance facility can be availed.</w:t>
      </w:r>
    </w:p>
    <w:p w14:paraId="49AFB76D" w14:textId="77777777" w:rsidR="001173E0" w:rsidRDefault="001173E0" w:rsidP="001173E0">
      <w:pPr>
        <w:pStyle w:val="NormalWeb"/>
        <w:numPr>
          <w:ilvl w:val="0"/>
          <w:numId w:val="4"/>
        </w:numPr>
        <w:ind w:left="0"/>
        <w:jc w:val="both"/>
        <w:rPr>
          <w:rFonts w:ascii="Arial" w:hAnsi="Arial" w:cs="Arial"/>
          <w:color w:val="000000"/>
          <w:sz w:val="20"/>
          <w:szCs w:val="20"/>
        </w:rPr>
      </w:pPr>
      <w:r>
        <w:rPr>
          <w:rFonts w:ascii="Arial" w:hAnsi="Arial" w:cs="Arial"/>
          <w:color w:val="000000"/>
          <w:sz w:val="20"/>
          <w:szCs w:val="20"/>
        </w:rPr>
        <w:t>Premium for insurance shall not be levied on the MSME seller.</w:t>
      </w:r>
    </w:p>
    <w:p w14:paraId="751CAD81" w14:textId="77777777" w:rsidR="001173E0" w:rsidRDefault="001173E0" w:rsidP="001173E0">
      <w:pPr>
        <w:pStyle w:val="NormalWeb"/>
        <w:numPr>
          <w:ilvl w:val="0"/>
          <w:numId w:val="4"/>
        </w:numPr>
        <w:ind w:left="0"/>
        <w:jc w:val="both"/>
        <w:rPr>
          <w:rFonts w:ascii="Arial" w:hAnsi="Arial" w:cs="Arial"/>
          <w:color w:val="000000"/>
          <w:sz w:val="20"/>
          <w:szCs w:val="20"/>
        </w:rPr>
      </w:pPr>
      <w:r>
        <w:rPr>
          <w:rFonts w:ascii="Arial" w:hAnsi="Arial" w:cs="Arial"/>
          <w:color w:val="000000"/>
          <w:sz w:val="20"/>
          <w:szCs w:val="20"/>
        </w:rPr>
        <w:t xml:space="preserve">Collection of premium and related activities could be enabled through National Automated Clearing House (NACH) system used for settlement of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transactions.</w:t>
      </w:r>
    </w:p>
    <w:p w14:paraId="6839370E" w14:textId="77777777" w:rsidR="001173E0" w:rsidRDefault="001173E0" w:rsidP="001173E0">
      <w:pPr>
        <w:pStyle w:val="NormalWeb"/>
        <w:numPr>
          <w:ilvl w:val="0"/>
          <w:numId w:val="4"/>
        </w:numPr>
        <w:ind w:left="0"/>
        <w:jc w:val="both"/>
        <w:rPr>
          <w:rFonts w:ascii="Arial" w:hAnsi="Arial" w:cs="Arial"/>
          <w:color w:val="000000"/>
          <w:sz w:val="20"/>
          <w:szCs w:val="20"/>
        </w:rPr>
      </w:pPr>
      <w:r>
        <w:rPr>
          <w:rFonts w:ascii="Arial" w:hAnsi="Arial" w:cs="Arial"/>
          <w:color w:val="000000"/>
          <w:sz w:val="20"/>
          <w:szCs w:val="20"/>
        </w:rPr>
        <w:t xml:space="preserve">Based on consent received from financiers and insurance companies,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platforms could facilitate automated processing of insurance claims and specify timelines for their settlement through the NACH system.</w:t>
      </w:r>
    </w:p>
    <w:p w14:paraId="76020467" w14:textId="77777777" w:rsidR="001173E0" w:rsidRDefault="001173E0" w:rsidP="001173E0">
      <w:pPr>
        <w:pStyle w:val="NormalWeb"/>
        <w:numPr>
          <w:ilvl w:val="0"/>
          <w:numId w:val="4"/>
        </w:numPr>
        <w:ind w:left="0"/>
        <w:jc w:val="both"/>
        <w:rPr>
          <w:rFonts w:ascii="Arial" w:hAnsi="Arial" w:cs="Arial"/>
          <w:color w:val="000000"/>
          <w:sz w:val="20"/>
          <w:szCs w:val="20"/>
        </w:rPr>
      </w:pPr>
      <w:r>
        <w:rPr>
          <w:rFonts w:ascii="Arial" w:hAnsi="Arial" w:cs="Arial"/>
          <w:color w:val="000000"/>
          <w:sz w:val="20"/>
          <w:szCs w:val="20"/>
        </w:rPr>
        <w:t>As of now, the credit insurance shall not be treated as a Credit Risk Mitigant (CRM) to avail any prudential benefits.</w:t>
      </w:r>
    </w:p>
    <w:p w14:paraId="466FC7F9"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b) </w:t>
      </w:r>
      <w:r>
        <w:rPr>
          <w:rFonts w:ascii="Arial" w:hAnsi="Arial" w:cs="Arial"/>
          <w:color w:val="000000"/>
          <w:sz w:val="20"/>
          <w:szCs w:val="20"/>
          <w:u w:val="single"/>
        </w:rPr>
        <w:t xml:space="preserve">Expand the pool of </w:t>
      </w:r>
      <w:proofErr w:type="gramStart"/>
      <w:r>
        <w:rPr>
          <w:rFonts w:ascii="Arial" w:hAnsi="Arial" w:cs="Arial"/>
          <w:color w:val="000000"/>
          <w:sz w:val="20"/>
          <w:szCs w:val="20"/>
          <w:u w:val="single"/>
        </w:rPr>
        <w:t>financiers</w:t>
      </w:r>
      <w:r>
        <w:rPr>
          <w:rFonts w:ascii="Arial" w:hAnsi="Arial" w:cs="Arial"/>
          <w:color w:val="000000"/>
          <w:sz w:val="20"/>
          <w:szCs w:val="20"/>
        </w:rPr>
        <w:t> :</w:t>
      </w:r>
      <w:proofErr w:type="gramEnd"/>
      <w:r>
        <w:rPr>
          <w:rFonts w:ascii="Arial" w:hAnsi="Arial" w:cs="Arial"/>
          <w:color w:val="000000"/>
          <w:sz w:val="20"/>
          <w:szCs w:val="20"/>
        </w:rPr>
        <w:t xml:space="preserve">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transactions fall under the ambit of “factoring business”, and banks, NBFC-Factors and other financial institutions (as permitted by RBI) can presently participate as financiers in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The Factoring Regulation Act, 2011 (FRA) allows certain other entities / institutions to undertake factoring transactions. Accordingly, all entities / institutions allowed to undertake factoring business under FRA and the rules / regulations made thereunder, are now permitted to participate as financiers in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This would augment availability of financiers on </w:t>
      </w:r>
      <w:proofErr w:type="spellStart"/>
      <w:r>
        <w:rPr>
          <w:rFonts w:ascii="Arial" w:hAnsi="Arial" w:cs="Arial"/>
          <w:color w:val="000000"/>
          <w:sz w:val="20"/>
          <w:szCs w:val="20"/>
        </w:rPr>
        <w:t>TReDS</w:t>
      </w:r>
      <w:proofErr w:type="spellEnd"/>
      <w:r>
        <w:rPr>
          <w:rFonts w:ascii="Arial" w:hAnsi="Arial" w:cs="Arial"/>
          <w:color w:val="000000"/>
          <w:sz w:val="20"/>
          <w:szCs w:val="20"/>
        </w:rPr>
        <w:t xml:space="preserve"> platforms.</w:t>
      </w:r>
    </w:p>
    <w:p w14:paraId="49576C4E" w14:textId="77777777" w:rsidR="001173E0" w:rsidRDefault="001173E0" w:rsidP="001173E0">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14:paraId="39E2C5CD" w14:textId="77777777" w:rsidR="001173E0" w:rsidRDefault="001173E0" w:rsidP="001173E0">
      <w:pPr>
        <w:pStyle w:val="NormalWeb"/>
        <w:spacing w:before="0" w:beforeAutospacing="0"/>
        <w:rPr>
          <w:rFonts w:ascii="Arial" w:hAnsi="Arial" w:cs="Arial"/>
          <w:color w:val="000000"/>
          <w:sz w:val="20"/>
          <w:szCs w:val="20"/>
        </w:rPr>
      </w:pPr>
      <w:r>
        <w:rPr>
          <w:rFonts w:ascii="Arial" w:hAnsi="Arial" w:cs="Arial"/>
          <w:color w:val="000000"/>
          <w:sz w:val="20"/>
          <w:szCs w:val="20"/>
        </w:rPr>
        <w:t>(P. Vasudevan)</w:t>
      </w:r>
      <w:r>
        <w:rPr>
          <w:rFonts w:ascii="Arial" w:hAnsi="Arial" w:cs="Arial"/>
          <w:color w:val="000000"/>
          <w:sz w:val="20"/>
          <w:szCs w:val="20"/>
        </w:rPr>
        <w:br/>
        <w:t>Chief General Manager-in-Charge</w:t>
      </w:r>
    </w:p>
    <w:p w14:paraId="4BCB1EAA" w14:textId="77777777" w:rsidR="001173E0" w:rsidRDefault="001173E0" w:rsidP="001173E0">
      <w:pPr>
        <w:spacing w:before="240" w:after="0"/>
      </w:pPr>
      <w:r>
        <w:lastRenderedPageBreak/>
        <w:t>More details can be referred to in the below link.</w:t>
      </w:r>
    </w:p>
    <w:p w14:paraId="4A644DC1" w14:textId="77777777" w:rsidR="001173E0" w:rsidRDefault="001173E0" w:rsidP="001173E0">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33" w:history="1">
        <w:r w:rsidRPr="005F425E">
          <w:rPr>
            <w:rStyle w:val="Hyperlink"/>
            <w:rFonts w:ascii="Arial" w:hAnsi="Arial" w:cs="Arial"/>
            <w:bCs/>
            <w:sz w:val="20"/>
            <w:szCs w:val="20"/>
          </w:rPr>
          <w:t>https://rbi.org.in/Scripts/NotificationUser.aspx?Id=12510&amp;Mode=0</w:t>
        </w:r>
      </w:hyperlink>
      <w:bookmarkEnd w:id="16"/>
    </w:p>
    <w:p w14:paraId="072E4441" w14:textId="77777777" w:rsidR="001173E0" w:rsidRDefault="001173E0" w:rsidP="001173E0">
      <w:pPr>
        <w:pStyle w:val="NormalWeb"/>
        <w:spacing w:before="240" w:beforeAutospacing="0"/>
        <w:rPr>
          <w:rFonts w:ascii="Arial" w:hAnsi="Arial" w:cs="Arial"/>
          <w:b/>
          <w:bCs/>
          <w:color w:val="000000"/>
          <w:sz w:val="20"/>
          <w:szCs w:val="20"/>
        </w:rPr>
      </w:pPr>
      <w:bookmarkStart w:id="18" w:name="_Hlk141827828"/>
      <w:bookmarkEnd w:id="17"/>
      <w:r>
        <w:rPr>
          <w:rFonts w:ascii="Arial" w:hAnsi="Arial" w:cs="Arial"/>
          <w:b/>
          <w:bCs/>
          <w:color w:val="000000"/>
          <w:sz w:val="20"/>
          <w:szCs w:val="20"/>
        </w:rPr>
        <w:t>Framework for Compromise Settlements and Technical Write-offs</w:t>
      </w:r>
    </w:p>
    <w:p w14:paraId="14FD192E"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RBI/2023-24/40</w:t>
      </w:r>
      <w:r>
        <w:rPr>
          <w:rFonts w:ascii="Arial" w:hAnsi="Arial" w:cs="Arial"/>
          <w:color w:val="000000"/>
          <w:sz w:val="20"/>
          <w:szCs w:val="20"/>
        </w:rPr>
        <w:br/>
        <w:t>DOR.STR.REC.20/21.04.048/2023-24</w:t>
      </w:r>
    </w:p>
    <w:p w14:paraId="4CBBA997" w14:textId="77777777" w:rsidR="001173E0" w:rsidRDefault="001173E0" w:rsidP="001173E0">
      <w:pPr>
        <w:pStyle w:val="NormalWeb"/>
        <w:jc w:val="right"/>
        <w:rPr>
          <w:rFonts w:ascii="Arial" w:hAnsi="Arial" w:cs="Arial"/>
          <w:color w:val="000000"/>
          <w:sz w:val="20"/>
          <w:szCs w:val="20"/>
        </w:rPr>
      </w:pPr>
      <w:r>
        <w:rPr>
          <w:rFonts w:ascii="Arial" w:hAnsi="Arial" w:cs="Arial"/>
          <w:color w:val="000000"/>
          <w:sz w:val="20"/>
          <w:szCs w:val="20"/>
        </w:rPr>
        <w:t>June 08, 2023</w:t>
      </w:r>
    </w:p>
    <w:p w14:paraId="5665E251" w14:textId="77777777" w:rsidR="001173E0" w:rsidRDefault="001173E0" w:rsidP="001173E0">
      <w:pPr>
        <w:pStyle w:val="NormalWeb"/>
        <w:rPr>
          <w:rFonts w:ascii="Arial" w:hAnsi="Arial" w:cs="Arial"/>
          <w:color w:val="000000"/>
          <w:sz w:val="20"/>
          <w:szCs w:val="20"/>
        </w:rPr>
      </w:pPr>
      <w:r>
        <w:rPr>
          <w:rFonts w:ascii="Arial" w:hAnsi="Arial" w:cs="Arial"/>
          <w:color w:val="000000"/>
          <w:sz w:val="20"/>
          <w:szCs w:val="20"/>
        </w:rPr>
        <w:t>Commercial Banks (including Small Finance Banks, Local Area Banks and Regional Rural Banks)</w:t>
      </w:r>
      <w:r>
        <w:rPr>
          <w:rFonts w:ascii="Arial" w:hAnsi="Arial" w:cs="Arial"/>
          <w:color w:val="000000"/>
          <w:sz w:val="20"/>
          <w:szCs w:val="20"/>
        </w:rPr>
        <w:br/>
        <w:t>Primary (Urban) Co-operative Banks/State Co-operative Banks/ Central Co-operative Banks</w:t>
      </w:r>
      <w:r>
        <w:rPr>
          <w:rFonts w:ascii="Arial" w:hAnsi="Arial" w:cs="Arial"/>
          <w:color w:val="000000"/>
          <w:sz w:val="20"/>
          <w:szCs w:val="20"/>
        </w:rPr>
        <w:br/>
        <w:t>All-India Financial Institutions</w:t>
      </w:r>
      <w:r>
        <w:rPr>
          <w:rFonts w:ascii="Arial" w:hAnsi="Arial" w:cs="Arial"/>
          <w:color w:val="000000"/>
          <w:sz w:val="20"/>
          <w:szCs w:val="20"/>
        </w:rPr>
        <w:br/>
        <w:t>Non-Banking Financial Companies (including Housing Finance Companies)</w:t>
      </w:r>
    </w:p>
    <w:p w14:paraId="1DA81CD0"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Madam/Dear Sir,</w:t>
      </w:r>
    </w:p>
    <w:p w14:paraId="556613CE" w14:textId="77777777" w:rsidR="001173E0" w:rsidRDefault="001173E0" w:rsidP="001173E0">
      <w:pPr>
        <w:pStyle w:val="head"/>
        <w:jc w:val="both"/>
        <w:rPr>
          <w:rFonts w:ascii="Arial" w:hAnsi="Arial" w:cs="Arial"/>
          <w:b/>
          <w:bCs/>
          <w:color w:val="000000"/>
          <w:sz w:val="20"/>
          <w:szCs w:val="20"/>
        </w:rPr>
      </w:pPr>
      <w:r>
        <w:rPr>
          <w:rFonts w:ascii="Arial" w:hAnsi="Arial" w:cs="Arial"/>
          <w:b/>
          <w:bCs/>
          <w:color w:val="000000"/>
          <w:sz w:val="20"/>
          <w:szCs w:val="20"/>
        </w:rPr>
        <w:t>Framework for Compromise Settlements and Technical Write-offs</w:t>
      </w:r>
    </w:p>
    <w:p w14:paraId="4812A12C"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The Reserve Bank of India has issued various instructions to regulated entities (REs) regarding compromise settlements in respect of stressed accounts from time to time, including the </w:t>
      </w:r>
      <w:hyperlink r:id="rId34" w:tgtFrame="_blank" w:history="1">
        <w:r>
          <w:rPr>
            <w:rStyle w:val="Hyperlink"/>
            <w:rFonts w:ascii="Arial" w:hAnsi="Arial" w:cs="Arial"/>
            <w:sz w:val="20"/>
            <w:szCs w:val="20"/>
          </w:rPr>
          <w:t>Prudential Framework for Resolution of Stressed Assets dated June 7, 2019</w:t>
        </w:r>
      </w:hyperlink>
      <w:r>
        <w:rPr>
          <w:rFonts w:ascii="Arial" w:hAnsi="Arial" w:cs="Arial"/>
          <w:color w:val="000000"/>
          <w:sz w:val="20"/>
          <w:szCs w:val="20"/>
        </w:rPr>
        <w:t> (</w:t>
      </w:r>
      <w:r>
        <w:rPr>
          <w:rStyle w:val="head1"/>
          <w:rFonts w:ascii="Arial" w:hAnsi="Arial" w:cs="Arial"/>
          <w:color w:val="000000"/>
          <w:sz w:val="20"/>
          <w:szCs w:val="20"/>
        </w:rPr>
        <w:t>“Prudential Framework”</w:t>
      </w:r>
      <w:r>
        <w:rPr>
          <w:rFonts w:ascii="Arial" w:hAnsi="Arial" w:cs="Arial"/>
          <w:color w:val="000000"/>
          <w:sz w:val="20"/>
          <w:szCs w:val="20"/>
        </w:rPr>
        <w:t>), which recognises compromise settlements as a valid resolution plan. With a view to provide further impetus to resolution of stressed assets in the system as well as to rationalise and harmonise the instructions across all REs, as announced in the </w:t>
      </w:r>
      <w:hyperlink r:id="rId35" w:tgtFrame="_blank" w:history="1">
        <w:r>
          <w:rPr>
            <w:rStyle w:val="Hyperlink"/>
            <w:rFonts w:ascii="Arial" w:hAnsi="Arial" w:cs="Arial"/>
            <w:sz w:val="20"/>
            <w:szCs w:val="20"/>
          </w:rPr>
          <w:t>Statement on Developmental and Regulatory Policies released on June 8, 2023</w:t>
        </w:r>
      </w:hyperlink>
      <w:r>
        <w:rPr>
          <w:rFonts w:ascii="Arial" w:hAnsi="Arial" w:cs="Arial"/>
          <w:color w:val="000000"/>
          <w:sz w:val="20"/>
          <w:szCs w:val="20"/>
        </w:rPr>
        <w:t>, it has been decided to issue a comprehensive regulatory framework governing compromise settlements and technical write-offs covering all the REs, as detailed in the </w:t>
      </w:r>
      <w:hyperlink r:id="rId36" w:anchor="AN" w:history="1">
        <w:r>
          <w:rPr>
            <w:rStyle w:val="Hyperlink"/>
            <w:rFonts w:ascii="Arial" w:hAnsi="Arial" w:cs="Arial"/>
            <w:sz w:val="20"/>
            <w:szCs w:val="20"/>
          </w:rPr>
          <w:t>Annex</w:t>
        </w:r>
      </w:hyperlink>
      <w:r>
        <w:rPr>
          <w:rFonts w:ascii="Arial" w:hAnsi="Arial" w:cs="Arial"/>
          <w:color w:val="000000"/>
          <w:sz w:val="20"/>
          <w:szCs w:val="20"/>
        </w:rPr>
        <w:t>.</w:t>
      </w:r>
    </w:p>
    <w:p w14:paraId="0DBDFEF0"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2. The provisions of this framework shall be applicable to all REs to which this circular is addressed and shall be without prejudice to the provisions of the Prudential Framework, or any other guidelines applicable to the REs on resolution of stressed assets.</w:t>
      </w:r>
    </w:p>
    <w:p w14:paraId="4CE9EA85"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3. These instructions on operationalising the framework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 They shall come into force with immediate effect and REs shall take necessary steps to ensure compliance with these instructions.</w:t>
      </w:r>
    </w:p>
    <w:p w14:paraId="44D6C609" w14:textId="77777777" w:rsidR="001173E0" w:rsidRDefault="001173E0" w:rsidP="001173E0">
      <w:pPr>
        <w:pStyle w:val="NormalWeb"/>
        <w:jc w:val="both"/>
        <w:rPr>
          <w:rFonts w:ascii="Arial" w:hAnsi="Arial" w:cs="Arial"/>
          <w:color w:val="000000"/>
          <w:sz w:val="20"/>
          <w:szCs w:val="20"/>
        </w:rPr>
      </w:pPr>
      <w:r>
        <w:rPr>
          <w:rFonts w:ascii="Arial" w:hAnsi="Arial" w:cs="Arial"/>
          <w:color w:val="000000"/>
          <w:sz w:val="20"/>
          <w:szCs w:val="20"/>
        </w:rPr>
        <w:t>Yours faithfully,</w:t>
      </w:r>
    </w:p>
    <w:p w14:paraId="7E781950" w14:textId="77777777" w:rsidR="001173E0" w:rsidRDefault="001173E0" w:rsidP="001173E0">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60700E4B" w14:textId="77777777" w:rsidR="001173E0" w:rsidRDefault="001173E0" w:rsidP="001173E0">
      <w:pPr>
        <w:pStyle w:val="NormalWeb"/>
        <w:spacing w:before="240" w:beforeAutospacing="0"/>
        <w:rPr>
          <w:rFonts w:ascii="Arial" w:hAnsi="Arial" w:cs="Arial"/>
          <w:color w:val="000000"/>
          <w:sz w:val="20"/>
          <w:szCs w:val="20"/>
        </w:rPr>
      </w:pPr>
    </w:p>
    <w:p w14:paraId="45E13361" w14:textId="77777777" w:rsidR="001173E0" w:rsidRDefault="001173E0" w:rsidP="001173E0">
      <w:pPr>
        <w:spacing w:before="240" w:after="0"/>
      </w:pPr>
      <w:r>
        <w:t>More details can be referred to in the below link.</w:t>
      </w:r>
    </w:p>
    <w:p w14:paraId="6B7CEBCC" w14:textId="77777777" w:rsidR="001173E0" w:rsidRDefault="001173E0" w:rsidP="001173E0">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37" w:history="1">
        <w:r w:rsidRPr="005F425E">
          <w:rPr>
            <w:rStyle w:val="Hyperlink"/>
            <w:rFonts w:ascii="Arial" w:hAnsi="Arial" w:cs="Arial"/>
            <w:bCs/>
            <w:sz w:val="20"/>
            <w:szCs w:val="20"/>
          </w:rPr>
          <w:t>https://rbi.org.in/Scripts/NotificationUser.aspx?Id=12513&amp;Mode=0</w:t>
        </w:r>
      </w:hyperlink>
    </w:p>
    <w:p w14:paraId="326EEFF7" w14:textId="77777777" w:rsidR="001173E0" w:rsidRDefault="001173E0" w:rsidP="001173E0">
      <w:pPr>
        <w:pStyle w:val="NormalWeb"/>
        <w:spacing w:before="240" w:beforeAutospacing="0"/>
        <w:rPr>
          <w:rFonts w:ascii="Arial" w:hAnsi="Arial" w:cs="Arial"/>
          <w:bCs/>
          <w:color w:val="000000"/>
          <w:sz w:val="20"/>
          <w:szCs w:val="20"/>
        </w:rPr>
      </w:pPr>
    </w:p>
    <w:p w14:paraId="64F89E23" w14:textId="6F12FCF5" w:rsidR="001173E0" w:rsidRDefault="001173E0" w:rsidP="001173E0">
      <w:pPr>
        <w:pStyle w:val="NormalWeb"/>
        <w:spacing w:before="240" w:beforeAutospacing="0"/>
        <w:rPr>
          <w:rFonts w:ascii="Arial" w:hAnsi="Arial" w:cs="Arial"/>
          <w:bCs/>
          <w:color w:val="000000"/>
          <w:sz w:val="20"/>
          <w:szCs w:val="20"/>
        </w:rPr>
      </w:pPr>
    </w:p>
    <w:p w14:paraId="467F27A2" w14:textId="17204998" w:rsidR="00511F0D" w:rsidRDefault="00511F0D" w:rsidP="001173E0">
      <w:pPr>
        <w:pStyle w:val="NormalWeb"/>
        <w:spacing w:before="240" w:beforeAutospacing="0"/>
        <w:rPr>
          <w:rFonts w:ascii="Arial" w:hAnsi="Arial" w:cs="Arial"/>
          <w:bCs/>
          <w:color w:val="000000"/>
          <w:sz w:val="20"/>
          <w:szCs w:val="20"/>
        </w:rPr>
      </w:pPr>
    </w:p>
    <w:p w14:paraId="4CB41A98" w14:textId="346D12E9" w:rsidR="00511F0D" w:rsidRDefault="00511F0D" w:rsidP="001173E0">
      <w:pPr>
        <w:pStyle w:val="NormalWeb"/>
        <w:spacing w:before="240" w:beforeAutospacing="0"/>
        <w:rPr>
          <w:rFonts w:ascii="Arial" w:hAnsi="Arial" w:cs="Arial"/>
          <w:bCs/>
          <w:color w:val="000000"/>
          <w:sz w:val="20"/>
          <w:szCs w:val="20"/>
        </w:rPr>
      </w:pPr>
    </w:p>
    <w:p w14:paraId="577B3861" w14:textId="2D2EC2DF" w:rsidR="00511F0D" w:rsidRDefault="00511F0D" w:rsidP="001173E0">
      <w:pPr>
        <w:pStyle w:val="NormalWeb"/>
        <w:spacing w:before="240" w:beforeAutospacing="0"/>
        <w:rPr>
          <w:rFonts w:ascii="Arial" w:hAnsi="Arial" w:cs="Arial"/>
          <w:bCs/>
          <w:color w:val="000000"/>
          <w:sz w:val="20"/>
          <w:szCs w:val="20"/>
        </w:rPr>
      </w:pPr>
    </w:p>
    <w:p w14:paraId="4E9A7446" w14:textId="77777777" w:rsidR="00511F0D" w:rsidRPr="00520D9C" w:rsidRDefault="00511F0D" w:rsidP="00511F0D">
      <w:pPr>
        <w:tabs>
          <w:tab w:val="left" w:pos="2820"/>
        </w:tabs>
        <w:rPr>
          <w:rFonts w:ascii="Arial" w:hAnsi="Arial" w:cs="Arial"/>
          <w:sz w:val="20"/>
          <w:szCs w:val="20"/>
        </w:rPr>
      </w:pPr>
      <w:r w:rsidRPr="00520D9C">
        <w:rPr>
          <w:rFonts w:ascii="Arial" w:hAnsi="Arial" w:cs="Arial"/>
          <w:sz w:val="20"/>
          <w:szCs w:val="20"/>
        </w:rPr>
        <w:t>Ref. No. CGTMSE /44/ 293 March 31, 2023</w:t>
      </w:r>
    </w:p>
    <w:p w14:paraId="166B6EAF" w14:textId="77777777" w:rsidR="00511F0D" w:rsidRPr="00520D9C" w:rsidRDefault="00511F0D" w:rsidP="00511F0D">
      <w:pPr>
        <w:tabs>
          <w:tab w:val="left" w:pos="2820"/>
        </w:tabs>
        <w:rPr>
          <w:rFonts w:ascii="Arial" w:hAnsi="Arial" w:cs="Arial"/>
          <w:sz w:val="20"/>
          <w:szCs w:val="20"/>
        </w:rPr>
      </w:pPr>
      <w:r w:rsidRPr="00520D9C">
        <w:rPr>
          <w:rFonts w:ascii="Arial" w:hAnsi="Arial" w:cs="Arial"/>
          <w:sz w:val="20"/>
          <w:szCs w:val="20"/>
        </w:rPr>
        <w:t>All Public Sector Banks, Private Sector Banks, Member FIs, Foreign Banks</w:t>
      </w:r>
    </w:p>
    <w:p w14:paraId="3281ED77" w14:textId="77777777" w:rsidR="00511F0D" w:rsidRPr="00520D9C" w:rsidRDefault="00511F0D" w:rsidP="00511F0D">
      <w:pPr>
        <w:tabs>
          <w:tab w:val="left" w:pos="2820"/>
        </w:tabs>
        <w:jc w:val="center"/>
        <w:rPr>
          <w:rFonts w:ascii="Arial" w:hAnsi="Arial" w:cs="Arial"/>
          <w:b/>
          <w:sz w:val="20"/>
          <w:szCs w:val="20"/>
        </w:rPr>
      </w:pPr>
      <w:r w:rsidRPr="00520D9C">
        <w:rPr>
          <w:rFonts w:ascii="Arial" w:hAnsi="Arial" w:cs="Arial"/>
          <w:b/>
          <w:sz w:val="20"/>
          <w:szCs w:val="20"/>
        </w:rPr>
        <w:t>Circular No.220 / 2022 – 23</w:t>
      </w:r>
    </w:p>
    <w:p w14:paraId="3D7FC96B" w14:textId="77777777" w:rsidR="00511F0D" w:rsidRPr="00520D9C" w:rsidRDefault="00511F0D" w:rsidP="00511F0D">
      <w:pPr>
        <w:tabs>
          <w:tab w:val="left" w:pos="2820"/>
        </w:tabs>
        <w:rPr>
          <w:rFonts w:ascii="Arial" w:hAnsi="Arial" w:cs="Arial"/>
          <w:sz w:val="20"/>
          <w:szCs w:val="20"/>
        </w:rPr>
      </w:pPr>
      <w:r w:rsidRPr="00520D9C">
        <w:rPr>
          <w:rFonts w:ascii="Arial" w:hAnsi="Arial" w:cs="Arial"/>
          <w:sz w:val="20"/>
          <w:szCs w:val="20"/>
        </w:rPr>
        <w:t>Madam / Dear Sir,</w:t>
      </w:r>
    </w:p>
    <w:p w14:paraId="6A5EE9E1" w14:textId="77777777" w:rsidR="00511F0D" w:rsidRPr="00520D9C" w:rsidRDefault="00511F0D" w:rsidP="00511F0D">
      <w:pPr>
        <w:tabs>
          <w:tab w:val="left" w:pos="2820"/>
        </w:tabs>
        <w:jc w:val="center"/>
        <w:rPr>
          <w:rFonts w:ascii="Arial" w:hAnsi="Arial" w:cs="Arial"/>
          <w:b/>
          <w:sz w:val="20"/>
          <w:szCs w:val="20"/>
        </w:rPr>
      </w:pPr>
      <w:r w:rsidRPr="00520D9C">
        <w:rPr>
          <w:rFonts w:ascii="Arial" w:hAnsi="Arial" w:cs="Arial"/>
          <w:b/>
          <w:sz w:val="20"/>
          <w:szCs w:val="20"/>
        </w:rPr>
        <w:t>Increase in ceiling of coverage from `200 lakh to `500 lakh – CGS I</w:t>
      </w:r>
    </w:p>
    <w:p w14:paraId="563F5F0A" w14:textId="77777777" w:rsidR="00511F0D" w:rsidRPr="00520D9C" w:rsidRDefault="00511F0D" w:rsidP="00511F0D">
      <w:pPr>
        <w:tabs>
          <w:tab w:val="left" w:pos="2820"/>
        </w:tabs>
        <w:jc w:val="both"/>
        <w:rPr>
          <w:rFonts w:ascii="Arial" w:hAnsi="Arial" w:cs="Arial"/>
          <w:sz w:val="20"/>
          <w:szCs w:val="20"/>
        </w:rPr>
      </w:pPr>
      <w:r w:rsidRPr="00520D9C">
        <w:rPr>
          <w:rFonts w:ascii="Arial" w:hAnsi="Arial" w:cs="Arial"/>
          <w:sz w:val="20"/>
          <w:szCs w:val="20"/>
        </w:rPr>
        <w:t>As you are aware, presently the ceiling for availing credit guarantee for CGTMSE under CGS-I is `200 lakh. In view of the request received from banks, the matter has been reviewed. Accordingly, we are glad to inform that it has been decided to increase the ceiling for coverage under the CGS -I from `200 lakh to `500 lakh per borrower for the credit facilities extended by eligible MLIs to the Micro and Small Enterprises (MSEs). The extent of coverage is given in the table below:</w:t>
      </w:r>
    </w:p>
    <w:p w14:paraId="582DD79A" w14:textId="77777777" w:rsidR="00511F0D" w:rsidRPr="00520D9C" w:rsidRDefault="00511F0D" w:rsidP="00511F0D">
      <w:pPr>
        <w:tabs>
          <w:tab w:val="left" w:pos="2820"/>
        </w:tabs>
        <w:jc w:val="both"/>
        <w:rPr>
          <w:rFonts w:ascii="Arial" w:hAnsi="Arial" w:cs="Arial"/>
          <w:sz w:val="20"/>
          <w:szCs w:val="20"/>
        </w:rPr>
      </w:pPr>
      <w:r w:rsidRPr="00520D9C">
        <w:rPr>
          <w:rFonts w:ascii="Arial" w:hAnsi="Arial" w:cs="Arial"/>
          <w:noProof/>
          <w:sz w:val="20"/>
          <w:szCs w:val="20"/>
          <w:lang w:eastAsia="en-IN"/>
        </w:rPr>
        <w:drawing>
          <wp:inline distT="0" distB="0" distL="0" distR="0" wp14:anchorId="735051B4" wp14:editId="6B5B68D7">
            <wp:extent cx="5731510" cy="27559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731510" cy="2755900"/>
                    </a:xfrm>
                    <a:prstGeom prst="rect">
                      <a:avLst/>
                    </a:prstGeom>
                  </pic:spPr>
                </pic:pic>
              </a:graphicData>
            </a:graphic>
          </wp:inline>
        </w:drawing>
      </w:r>
    </w:p>
    <w:p w14:paraId="71B50808" w14:textId="77777777" w:rsidR="00511F0D" w:rsidRPr="00520D9C" w:rsidRDefault="00511F0D" w:rsidP="00511F0D">
      <w:pPr>
        <w:tabs>
          <w:tab w:val="left" w:pos="2820"/>
        </w:tabs>
        <w:jc w:val="both"/>
        <w:rPr>
          <w:rFonts w:ascii="Arial" w:hAnsi="Arial" w:cs="Arial"/>
          <w:sz w:val="20"/>
          <w:szCs w:val="20"/>
        </w:rPr>
      </w:pPr>
      <w:r w:rsidRPr="00520D9C">
        <w:rPr>
          <w:rFonts w:ascii="Arial" w:hAnsi="Arial" w:cs="Arial"/>
          <w:sz w:val="20"/>
          <w:szCs w:val="20"/>
        </w:rPr>
        <w:t xml:space="preserve">The above modifications shall be applicable for all guarantees approved on or after April 01, 2023 including enhancement in Working Capital of existing covered accounts. All other Terms and conditions of the Scheme shall remain unchanged. The contents of this circular may please be brought to the notice of all your offices. </w:t>
      </w:r>
    </w:p>
    <w:p w14:paraId="490219FC" w14:textId="77777777" w:rsidR="00511F0D" w:rsidRPr="00520D9C" w:rsidRDefault="00511F0D" w:rsidP="00511F0D">
      <w:pPr>
        <w:tabs>
          <w:tab w:val="left" w:pos="2820"/>
        </w:tabs>
        <w:jc w:val="both"/>
        <w:rPr>
          <w:rFonts w:ascii="Arial" w:hAnsi="Arial" w:cs="Arial"/>
          <w:sz w:val="20"/>
          <w:szCs w:val="20"/>
        </w:rPr>
      </w:pP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t xml:space="preserve">      Yours faithfully,</w:t>
      </w:r>
      <w:r>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520D9C">
        <w:rPr>
          <w:rFonts w:ascii="Arial" w:hAnsi="Arial" w:cs="Arial"/>
          <w:sz w:val="20"/>
          <w:szCs w:val="20"/>
        </w:rPr>
        <w:t>Sd</w:t>
      </w:r>
      <w:proofErr w:type="spellEnd"/>
      <w:r w:rsidRPr="00520D9C">
        <w:rPr>
          <w:rFonts w:ascii="Arial" w:hAnsi="Arial" w:cs="Arial"/>
          <w:sz w:val="20"/>
          <w:szCs w:val="20"/>
        </w:rPr>
        <w:t xml:space="preserve">/- </w:t>
      </w:r>
    </w:p>
    <w:p w14:paraId="70ABB4C8" w14:textId="77777777" w:rsidR="00511F0D" w:rsidRPr="00520D9C" w:rsidRDefault="00511F0D" w:rsidP="00511F0D">
      <w:pPr>
        <w:tabs>
          <w:tab w:val="left" w:pos="2820"/>
        </w:tabs>
        <w:jc w:val="both"/>
        <w:rPr>
          <w:rFonts w:ascii="Arial" w:hAnsi="Arial" w:cs="Arial"/>
          <w:sz w:val="20"/>
          <w:szCs w:val="20"/>
        </w:rPr>
      </w:pP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520D9C">
        <w:rPr>
          <w:rFonts w:ascii="Arial" w:hAnsi="Arial" w:cs="Arial"/>
          <w:sz w:val="20"/>
          <w:szCs w:val="20"/>
        </w:rPr>
        <w:t>(</w:t>
      </w:r>
      <w:proofErr w:type="spellStart"/>
      <w:r w:rsidRPr="00520D9C">
        <w:rPr>
          <w:rFonts w:ascii="Arial" w:hAnsi="Arial" w:cs="Arial"/>
          <w:sz w:val="20"/>
          <w:szCs w:val="20"/>
        </w:rPr>
        <w:t>Dhiraj</w:t>
      </w:r>
      <w:proofErr w:type="spellEnd"/>
      <w:r w:rsidRPr="00520D9C">
        <w:rPr>
          <w:rFonts w:ascii="Arial" w:hAnsi="Arial" w:cs="Arial"/>
          <w:sz w:val="20"/>
          <w:szCs w:val="20"/>
        </w:rPr>
        <w:t xml:space="preserve"> Kumar) </w:t>
      </w:r>
    </w:p>
    <w:p w14:paraId="06434D81" w14:textId="77777777" w:rsidR="00511F0D" w:rsidRDefault="00511F0D" w:rsidP="00511F0D">
      <w:pPr>
        <w:tabs>
          <w:tab w:val="left" w:pos="2820"/>
        </w:tabs>
        <w:jc w:val="both"/>
        <w:rPr>
          <w:rFonts w:ascii="Arial" w:hAnsi="Arial" w:cs="Arial"/>
          <w:sz w:val="20"/>
          <w:szCs w:val="20"/>
        </w:rPr>
      </w:pPr>
      <w:r w:rsidRPr="00520D9C">
        <w:rPr>
          <w:rFonts w:ascii="Arial" w:hAnsi="Arial" w:cs="Arial"/>
          <w:sz w:val="20"/>
          <w:szCs w:val="20"/>
        </w:rPr>
        <w:t xml:space="preserve">                                                                                                            </w:t>
      </w:r>
      <w:r>
        <w:rPr>
          <w:rFonts w:ascii="Arial" w:hAnsi="Arial" w:cs="Arial"/>
          <w:sz w:val="20"/>
          <w:szCs w:val="20"/>
        </w:rPr>
        <w:t xml:space="preserve">                  </w:t>
      </w:r>
      <w:r w:rsidRPr="00520D9C">
        <w:rPr>
          <w:rFonts w:ascii="Arial" w:hAnsi="Arial" w:cs="Arial"/>
          <w:sz w:val="20"/>
          <w:szCs w:val="20"/>
        </w:rPr>
        <w:t xml:space="preserve"> </w:t>
      </w:r>
      <w:proofErr w:type="spellStart"/>
      <w:r w:rsidRPr="00520D9C">
        <w:rPr>
          <w:rFonts w:ascii="Arial" w:hAnsi="Arial" w:cs="Arial"/>
          <w:sz w:val="20"/>
          <w:szCs w:val="20"/>
        </w:rPr>
        <w:t>Asst</w:t>
      </w:r>
      <w:proofErr w:type="spellEnd"/>
      <w:r w:rsidRPr="00520D9C">
        <w:rPr>
          <w:rFonts w:ascii="Arial" w:hAnsi="Arial" w:cs="Arial"/>
          <w:sz w:val="20"/>
          <w:szCs w:val="20"/>
        </w:rPr>
        <w:t xml:space="preserve"> General Manager</w:t>
      </w:r>
    </w:p>
    <w:p w14:paraId="5F00F041" w14:textId="77777777" w:rsidR="00511F0D" w:rsidRDefault="00511F0D" w:rsidP="00511F0D">
      <w:pPr>
        <w:tabs>
          <w:tab w:val="left" w:pos="2820"/>
        </w:tabs>
        <w:jc w:val="both"/>
        <w:rPr>
          <w:rFonts w:ascii="Arial" w:hAnsi="Arial" w:cs="Arial"/>
          <w:sz w:val="20"/>
          <w:szCs w:val="20"/>
        </w:rPr>
      </w:pPr>
    </w:p>
    <w:p w14:paraId="420DD5C4" w14:textId="77777777" w:rsidR="00511F0D" w:rsidRDefault="00511F0D" w:rsidP="00511F0D">
      <w:pPr>
        <w:spacing w:before="240" w:after="0"/>
      </w:pPr>
      <w:r>
        <w:t>More details can be referred to in the below link.</w:t>
      </w:r>
    </w:p>
    <w:p w14:paraId="27CE861D" w14:textId="77777777" w:rsidR="00511F0D" w:rsidRDefault="00511F0D" w:rsidP="00511F0D">
      <w:pPr>
        <w:pStyle w:val="NormalWeb"/>
      </w:pPr>
      <w:r>
        <w:rPr>
          <w:rFonts w:ascii="Arial" w:hAnsi="Arial" w:cs="Arial"/>
          <w:bCs/>
          <w:color w:val="000000"/>
          <w:sz w:val="20"/>
          <w:szCs w:val="20"/>
        </w:rPr>
        <w:t xml:space="preserve">Reference Link:  </w:t>
      </w:r>
      <w:hyperlink r:id="rId39" w:history="1">
        <w:r w:rsidRPr="00E4714C">
          <w:rPr>
            <w:rStyle w:val="Hyperlink"/>
          </w:rPr>
          <w:t>https://www.cgtmse.in/Default/ViewFile/?id=1680774247788_Circular%20No.%20220_Increase%20in%20ceiling%20of%20Coverage_REV.pdf&amp;path=Circular</w:t>
        </w:r>
      </w:hyperlink>
    </w:p>
    <w:p w14:paraId="38FBCC12" w14:textId="77777777" w:rsidR="00511F0D" w:rsidRDefault="00511F0D" w:rsidP="00511F0D">
      <w:pPr>
        <w:pStyle w:val="NormalWeb"/>
        <w:rPr>
          <w:rFonts w:ascii="Arial" w:hAnsi="Arial" w:cs="Arial"/>
          <w:sz w:val="20"/>
          <w:szCs w:val="20"/>
        </w:rPr>
      </w:pPr>
    </w:p>
    <w:p w14:paraId="2ED09798" w14:textId="77777777" w:rsidR="00511F0D" w:rsidRDefault="00511F0D" w:rsidP="00511F0D">
      <w:pPr>
        <w:pStyle w:val="NormalWeb"/>
        <w:rPr>
          <w:rFonts w:ascii="Arial" w:hAnsi="Arial" w:cs="Arial"/>
          <w:sz w:val="20"/>
          <w:szCs w:val="20"/>
        </w:rPr>
      </w:pPr>
    </w:p>
    <w:p w14:paraId="13547FE2" w14:textId="77777777" w:rsidR="00511F0D" w:rsidRDefault="00511F0D" w:rsidP="00511F0D">
      <w:pPr>
        <w:pStyle w:val="NormalWeb"/>
        <w:rPr>
          <w:rFonts w:ascii="Arial" w:hAnsi="Arial" w:cs="Arial"/>
          <w:sz w:val="20"/>
          <w:szCs w:val="20"/>
        </w:rPr>
      </w:pPr>
    </w:p>
    <w:p w14:paraId="2BBAB687" w14:textId="77777777" w:rsidR="00511F0D" w:rsidRDefault="00511F0D" w:rsidP="00511F0D">
      <w:pPr>
        <w:pStyle w:val="NormalWeb"/>
        <w:rPr>
          <w:rFonts w:ascii="Arial" w:hAnsi="Arial" w:cs="Arial"/>
          <w:sz w:val="20"/>
          <w:szCs w:val="20"/>
        </w:rPr>
      </w:pPr>
    </w:p>
    <w:p w14:paraId="34F92013" w14:textId="77777777" w:rsidR="00511F0D" w:rsidRPr="000D197A" w:rsidRDefault="00511F0D" w:rsidP="00511F0D">
      <w:pPr>
        <w:pStyle w:val="NormalWeb"/>
        <w:rPr>
          <w:rFonts w:ascii="Arial" w:hAnsi="Arial" w:cs="Arial"/>
          <w:sz w:val="20"/>
          <w:szCs w:val="20"/>
        </w:rPr>
      </w:pPr>
      <w:r w:rsidRPr="000D197A">
        <w:rPr>
          <w:rFonts w:ascii="Arial" w:hAnsi="Arial" w:cs="Arial"/>
          <w:sz w:val="20"/>
          <w:szCs w:val="20"/>
        </w:rPr>
        <w:t>Ref. No. CGTMSE /44/ 113 August 25, 2023</w:t>
      </w:r>
    </w:p>
    <w:p w14:paraId="54505A3C" w14:textId="77777777" w:rsidR="00511F0D" w:rsidRPr="000D197A" w:rsidRDefault="00511F0D" w:rsidP="00511F0D">
      <w:pPr>
        <w:pStyle w:val="NormalWeb"/>
        <w:rPr>
          <w:rFonts w:ascii="Arial" w:hAnsi="Arial" w:cs="Arial"/>
          <w:sz w:val="20"/>
          <w:szCs w:val="20"/>
        </w:rPr>
      </w:pPr>
      <w:r w:rsidRPr="000D197A">
        <w:rPr>
          <w:rFonts w:ascii="Arial" w:hAnsi="Arial" w:cs="Arial"/>
          <w:sz w:val="20"/>
          <w:szCs w:val="20"/>
        </w:rPr>
        <w:t>All Member Lending Institutions (MLIs) of CGTMSE</w:t>
      </w:r>
    </w:p>
    <w:p w14:paraId="29A287C4" w14:textId="77777777" w:rsidR="00511F0D" w:rsidRPr="000D197A" w:rsidRDefault="00511F0D" w:rsidP="00511F0D">
      <w:pPr>
        <w:pStyle w:val="NormalWeb"/>
        <w:jc w:val="center"/>
        <w:rPr>
          <w:rFonts w:ascii="Arial" w:hAnsi="Arial" w:cs="Arial"/>
          <w:b/>
          <w:sz w:val="20"/>
          <w:szCs w:val="20"/>
        </w:rPr>
      </w:pPr>
      <w:r w:rsidRPr="000D197A">
        <w:rPr>
          <w:rFonts w:ascii="Arial" w:hAnsi="Arial" w:cs="Arial"/>
          <w:b/>
          <w:sz w:val="20"/>
          <w:szCs w:val="20"/>
        </w:rPr>
        <w:t>Circular No. 229 / 2023 – 24</w:t>
      </w:r>
    </w:p>
    <w:p w14:paraId="5B3F271E" w14:textId="77777777" w:rsidR="00511F0D" w:rsidRPr="000D197A" w:rsidRDefault="00511F0D" w:rsidP="00511F0D">
      <w:pPr>
        <w:pStyle w:val="NormalWeb"/>
        <w:rPr>
          <w:rFonts w:ascii="Arial" w:hAnsi="Arial" w:cs="Arial"/>
          <w:sz w:val="20"/>
          <w:szCs w:val="20"/>
        </w:rPr>
      </w:pPr>
      <w:r w:rsidRPr="000D197A">
        <w:rPr>
          <w:rFonts w:ascii="Arial" w:hAnsi="Arial" w:cs="Arial"/>
          <w:sz w:val="20"/>
          <w:szCs w:val="20"/>
        </w:rPr>
        <w:t>Madam / Dear Sir,</w:t>
      </w:r>
    </w:p>
    <w:p w14:paraId="20CC9D97" w14:textId="77777777" w:rsidR="00511F0D" w:rsidRPr="000D197A" w:rsidRDefault="00511F0D" w:rsidP="00511F0D">
      <w:pPr>
        <w:pStyle w:val="NormalWeb"/>
        <w:jc w:val="center"/>
        <w:rPr>
          <w:rFonts w:ascii="Arial" w:hAnsi="Arial" w:cs="Arial"/>
          <w:b/>
          <w:sz w:val="20"/>
          <w:szCs w:val="20"/>
        </w:rPr>
      </w:pPr>
      <w:proofErr w:type="spellStart"/>
      <w:r w:rsidRPr="000D197A">
        <w:rPr>
          <w:rFonts w:ascii="Arial" w:hAnsi="Arial" w:cs="Arial"/>
          <w:b/>
          <w:sz w:val="20"/>
          <w:szCs w:val="20"/>
        </w:rPr>
        <w:t>Udyam</w:t>
      </w:r>
      <w:proofErr w:type="spellEnd"/>
      <w:r w:rsidRPr="000D197A">
        <w:rPr>
          <w:rFonts w:ascii="Arial" w:hAnsi="Arial" w:cs="Arial"/>
          <w:b/>
          <w:sz w:val="20"/>
          <w:szCs w:val="20"/>
        </w:rPr>
        <w:t xml:space="preserve"> Registration Number Mandatory for Guarantee Coverage</w:t>
      </w:r>
    </w:p>
    <w:p w14:paraId="64C66EB6" w14:textId="77777777" w:rsidR="00511F0D" w:rsidRPr="000D197A" w:rsidRDefault="00511F0D" w:rsidP="00511F0D">
      <w:pPr>
        <w:pStyle w:val="NormalWeb"/>
        <w:jc w:val="both"/>
        <w:rPr>
          <w:rFonts w:ascii="Arial" w:hAnsi="Arial" w:cs="Arial"/>
          <w:sz w:val="20"/>
          <w:szCs w:val="20"/>
        </w:rPr>
      </w:pPr>
      <w:r w:rsidRPr="000D197A">
        <w:rPr>
          <w:rFonts w:ascii="Arial" w:hAnsi="Arial" w:cs="Arial"/>
          <w:sz w:val="20"/>
          <w:szCs w:val="20"/>
        </w:rPr>
        <w:t>Please refer to our Circular No.206/2022-23 dated October 17, 2022</w:t>
      </w:r>
      <w:r>
        <w:rPr>
          <w:rFonts w:ascii="Arial" w:hAnsi="Arial" w:cs="Arial"/>
          <w:sz w:val="20"/>
          <w:szCs w:val="20"/>
        </w:rPr>
        <w:t xml:space="preserve"> </w:t>
      </w:r>
      <w:r w:rsidRPr="000D197A">
        <w:rPr>
          <w:rFonts w:ascii="Arial" w:hAnsi="Arial" w:cs="Arial"/>
          <w:sz w:val="20"/>
          <w:szCs w:val="20"/>
        </w:rPr>
        <w:t xml:space="preserve">informing that </w:t>
      </w:r>
      <w:proofErr w:type="spellStart"/>
      <w:r w:rsidRPr="000D197A">
        <w:rPr>
          <w:rFonts w:ascii="Arial" w:hAnsi="Arial" w:cs="Arial"/>
          <w:sz w:val="20"/>
          <w:szCs w:val="20"/>
        </w:rPr>
        <w:t>Udyam</w:t>
      </w:r>
      <w:proofErr w:type="spellEnd"/>
      <w:r w:rsidRPr="000D197A">
        <w:rPr>
          <w:rFonts w:ascii="Arial" w:hAnsi="Arial" w:cs="Arial"/>
          <w:sz w:val="20"/>
          <w:szCs w:val="20"/>
        </w:rPr>
        <w:t xml:space="preserve"> Registration Number (URN) is mandatory for getting</w:t>
      </w:r>
      <w:r>
        <w:rPr>
          <w:rFonts w:ascii="Arial" w:hAnsi="Arial" w:cs="Arial"/>
          <w:sz w:val="20"/>
          <w:szCs w:val="20"/>
        </w:rPr>
        <w:t xml:space="preserve"> </w:t>
      </w:r>
      <w:r w:rsidRPr="000D197A">
        <w:rPr>
          <w:rFonts w:ascii="Arial" w:hAnsi="Arial" w:cs="Arial"/>
          <w:sz w:val="20"/>
          <w:szCs w:val="20"/>
        </w:rPr>
        <w:t>guarantee coverage under Credit Guarantee Scheme from January 16, 2023</w:t>
      </w:r>
      <w:r>
        <w:rPr>
          <w:rFonts w:ascii="Arial" w:hAnsi="Arial" w:cs="Arial"/>
          <w:sz w:val="20"/>
          <w:szCs w:val="20"/>
        </w:rPr>
        <w:t xml:space="preserve"> </w:t>
      </w:r>
      <w:r w:rsidRPr="000D197A">
        <w:rPr>
          <w:rFonts w:ascii="Arial" w:hAnsi="Arial" w:cs="Arial"/>
          <w:sz w:val="20"/>
          <w:szCs w:val="20"/>
        </w:rPr>
        <w:t xml:space="preserve">onwards. As you are aware, </w:t>
      </w:r>
      <w:proofErr w:type="spellStart"/>
      <w:r w:rsidRPr="000D197A">
        <w:rPr>
          <w:rFonts w:ascii="Arial" w:hAnsi="Arial" w:cs="Arial"/>
          <w:sz w:val="20"/>
          <w:szCs w:val="20"/>
        </w:rPr>
        <w:t>Udyam</w:t>
      </w:r>
      <w:proofErr w:type="spellEnd"/>
      <w:r w:rsidRPr="000D197A">
        <w:rPr>
          <w:rFonts w:ascii="Arial" w:hAnsi="Arial" w:cs="Arial"/>
          <w:sz w:val="20"/>
          <w:szCs w:val="20"/>
        </w:rPr>
        <w:t xml:space="preserve"> Registration Portal is made simple and is a</w:t>
      </w:r>
      <w:r>
        <w:rPr>
          <w:rFonts w:ascii="Arial" w:hAnsi="Arial" w:cs="Arial"/>
          <w:sz w:val="20"/>
          <w:szCs w:val="20"/>
        </w:rPr>
        <w:t xml:space="preserve"> </w:t>
      </w:r>
      <w:r w:rsidRPr="000D197A">
        <w:rPr>
          <w:rFonts w:ascii="Arial" w:hAnsi="Arial" w:cs="Arial"/>
          <w:sz w:val="20"/>
          <w:szCs w:val="20"/>
        </w:rPr>
        <w:t>transparent system which provides number of benefits to the enterprises</w:t>
      </w:r>
      <w:r>
        <w:rPr>
          <w:rFonts w:ascii="Arial" w:hAnsi="Arial" w:cs="Arial"/>
          <w:sz w:val="20"/>
          <w:szCs w:val="20"/>
        </w:rPr>
        <w:t xml:space="preserve"> </w:t>
      </w:r>
      <w:r w:rsidRPr="000D197A">
        <w:rPr>
          <w:rFonts w:ascii="Arial" w:hAnsi="Arial" w:cs="Arial"/>
          <w:sz w:val="20"/>
          <w:szCs w:val="20"/>
        </w:rPr>
        <w:t>registered as MSEs. In this regard, we reiterate that obtaining URN of each</w:t>
      </w:r>
      <w:r>
        <w:rPr>
          <w:rFonts w:ascii="Arial" w:hAnsi="Arial" w:cs="Arial"/>
          <w:sz w:val="20"/>
          <w:szCs w:val="20"/>
        </w:rPr>
        <w:t xml:space="preserve"> </w:t>
      </w:r>
      <w:r w:rsidRPr="000D197A">
        <w:rPr>
          <w:rFonts w:ascii="Arial" w:hAnsi="Arial" w:cs="Arial"/>
          <w:sz w:val="20"/>
          <w:szCs w:val="20"/>
        </w:rPr>
        <w:t>beneficiary has been made mandatory while submitting application for coverage</w:t>
      </w:r>
      <w:r>
        <w:rPr>
          <w:rFonts w:ascii="Arial" w:hAnsi="Arial" w:cs="Arial"/>
          <w:sz w:val="20"/>
          <w:szCs w:val="20"/>
        </w:rPr>
        <w:t xml:space="preserve"> </w:t>
      </w:r>
      <w:r w:rsidRPr="000D197A">
        <w:rPr>
          <w:rFonts w:ascii="Arial" w:hAnsi="Arial" w:cs="Arial"/>
          <w:sz w:val="20"/>
          <w:szCs w:val="20"/>
        </w:rPr>
        <w:t>under the Scheme to extend the guarantee coverage.</w:t>
      </w:r>
    </w:p>
    <w:p w14:paraId="2B92398C" w14:textId="77777777" w:rsidR="00511F0D" w:rsidRPr="000D197A" w:rsidRDefault="00511F0D" w:rsidP="00511F0D">
      <w:pPr>
        <w:pStyle w:val="NormalWeb"/>
        <w:jc w:val="both"/>
        <w:rPr>
          <w:rFonts w:ascii="Arial" w:hAnsi="Arial" w:cs="Arial"/>
          <w:sz w:val="20"/>
          <w:szCs w:val="20"/>
        </w:rPr>
      </w:pPr>
      <w:r w:rsidRPr="000D197A">
        <w:rPr>
          <w:rFonts w:ascii="Arial" w:hAnsi="Arial" w:cs="Arial"/>
          <w:sz w:val="20"/>
          <w:szCs w:val="20"/>
        </w:rPr>
        <w:t>Further, all MLIs are requested to obtain URN for the existing beneficiaries</w:t>
      </w:r>
      <w:r>
        <w:rPr>
          <w:rFonts w:ascii="Arial" w:hAnsi="Arial" w:cs="Arial"/>
          <w:sz w:val="20"/>
          <w:szCs w:val="20"/>
        </w:rPr>
        <w:t xml:space="preserve"> </w:t>
      </w:r>
      <w:r w:rsidRPr="000D197A">
        <w:rPr>
          <w:rFonts w:ascii="Arial" w:hAnsi="Arial" w:cs="Arial"/>
          <w:sz w:val="20"/>
          <w:szCs w:val="20"/>
        </w:rPr>
        <w:t>covered under Credit Guarantee Scheme of CGTMSE and update it in our portal</w:t>
      </w:r>
      <w:r>
        <w:rPr>
          <w:rFonts w:ascii="Arial" w:hAnsi="Arial" w:cs="Arial"/>
          <w:sz w:val="20"/>
          <w:szCs w:val="20"/>
        </w:rPr>
        <w:t xml:space="preserve"> </w:t>
      </w:r>
      <w:r w:rsidRPr="000D197A">
        <w:rPr>
          <w:rFonts w:ascii="Arial" w:hAnsi="Arial" w:cs="Arial"/>
          <w:sz w:val="20"/>
          <w:szCs w:val="20"/>
        </w:rPr>
        <w:t>using path: Member Login &gt;&gt; Guarantee maintenance &gt;&gt; Modify borrower</w:t>
      </w:r>
      <w:r>
        <w:rPr>
          <w:rFonts w:ascii="Arial" w:hAnsi="Arial" w:cs="Arial"/>
          <w:sz w:val="20"/>
          <w:szCs w:val="20"/>
        </w:rPr>
        <w:t xml:space="preserve"> </w:t>
      </w:r>
      <w:r w:rsidRPr="000D197A">
        <w:rPr>
          <w:rFonts w:ascii="Arial" w:hAnsi="Arial" w:cs="Arial"/>
          <w:sz w:val="20"/>
          <w:szCs w:val="20"/>
        </w:rPr>
        <w:t>details &gt;&gt; provide CGPAN and update URN.</w:t>
      </w:r>
    </w:p>
    <w:p w14:paraId="23B68C3F" w14:textId="77777777" w:rsidR="00511F0D" w:rsidRPr="000D197A" w:rsidRDefault="00511F0D" w:rsidP="00511F0D">
      <w:pPr>
        <w:pStyle w:val="NormalWeb"/>
        <w:jc w:val="both"/>
        <w:rPr>
          <w:rFonts w:ascii="Arial" w:hAnsi="Arial" w:cs="Arial"/>
          <w:sz w:val="20"/>
          <w:szCs w:val="20"/>
        </w:rPr>
      </w:pPr>
      <w:r w:rsidRPr="000D197A">
        <w:rPr>
          <w:rFonts w:ascii="Arial" w:hAnsi="Arial" w:cs="Arial"/>
          <w:sz w:val="20"/>
          <w:szCs w:val="20"/>
        </w:rPr>
        <w:t>The contents of the Circular may please be brought to the notice of all your</w:t>
      </w:r>
      <w:r>
        <w:rPr>
          <w:rFonts w:ascii="Arial" w:hAnsi="Arial" w:cs="Arial"/>
          <w:sz w:val="20"/>
          <w:szCs w:val="20"/>
        </w:rPr>
        <w:t xml:space="preserve"> </w:t>
      </w:r>
      <w:r w:rsidRPr="000D197A">
        <w:rPr>
          <w:rFonts w:ascii="Arial" w:hAnsi="Arial" w:cs="Arial"/>
          <w:sz w:val="20"/>
          <w:szCs w:val="20"/>
        </w:rPr>
        <w:t>office.</w:t>
      </w:r>
    </w:p>
    <w:p w14:paraId="2D2F254E" w14:textId="77777777" w:rsidR="00511F0D" w:rsidRDefault="00511F0D" w:rsidP="00511F0D">
      <w:pPr>
        <w:pStyle w:val="NormalWeb"/>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04B6E1B4" w14:textId="77777777" w:rsidR="00511F0D" w:rsidRPr="000D197A" w:rsidRDefault="00511F0D" w:rsidP="00511F0D">
      <w:pPr>
        <w:pStyle w:val="NormalWeb"/>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D197A">
        <w:rPr>
          <w:rFonts w:ascii="Arial" w:hAnsi="Arial" w:cs="Arial"/>
          <w:sz w:val="20"/>
          <w:szCs w:val="20"/>
        </w:rPr>
        <w:t>Yours faithfully,</w:t>
      </w:r>
    </w:p>
    <w:p w14:paraId="76FD6AFD" w14:textId="77777777" w:rsidR="00511F0D" w:rsidRPr="000D197A" w:rsidRDefault="00511F0D" w:rsidP="00511F0D">
      <w:pPr>
        <w:pStyle w:val="NormalWeb"/>
        <w:rPr>
          <w:rFonts w:ascii="Arial" w:hAnsi="Arial" w:cs="Arial"/>
          <w:sz w:val="20"/>
          <w:szCs w:val="20"/>
        </w:rPr>
      </w:pPr>
      <w:r>
        <w:rPr>
          <w:rFonts w:ascii="Arial" w:hAnsi="Arial" w:cs="Arial"/>
          <w:sz w:val="20"/>
          <w:szCs w:val="20"/>
        </w:rPr>
        <w:t xml:space="preserve">                                                                                                                                                           </w:t>
      </w:r>
      <w:proofErr w:type="spellStart"/>
      <w:r w:rsidRPr="000D197A">
        <w:rPr>
          <w:rFonts w:ascii="Arial" w:hAnsi="Arial" w:cs="Arial"/>
          <w:sz w:val="20"/>
          <w:szCs w:val="20"/>
        </w:rPr>
        <w:t>Sd</w:t>
      </w:r>
      <w:proofErr w:type="spellEnd"/>
      <w:r w:rsidRPr="000D197A">
        <w:rPr>
          <w:rFonts w:ascii="Arial" w:hAnsi="Arial" w:cs="Arial"/>
          <w:sz w:val="20"/>
          <w:szCs w:val="20"/>
        </w:rPr>
        <w:t>/-</w:t>
      </w:r>
    </w:p>
    <w:p w14:paraId="72FE5961" w14:textId="77777777" w:rsidR="00511F0D" w:rsidRPr="000D197A" w:rsidRDefault="00511F0D" w:rsidP="00511F0D">
      <w:pPr>
        <w:pStyle w:val="NormalWeb"/>
        <w:rPr>
          <w:rFonts w:ascii="Arial" w:hAnsi="Arial" w:cs="Arial"/>
          <w:sz w:val="20"/>
          <w:szCs w:val="20"/>
        </w:rPr>
      </w:pPr>
      <w:r>
        <w:rPr>
          <w:rFonts w:ascii="Arial" w:hAnsi="Arial" w:cs="Arial"/>
          <w:sz w:val="20"/>
          <w:szCs w:val="20"/>
        </w:rPr>
        <w:t xml:space="preserve">                                                                                                                                           </w:t>
      </w:r>
      <w:r w:rsidRPr="000D197A">
        <w:rPr>
          <w:rFonts w:ascii="Arial" w:hAnsi="Arial" w:cs="Arial"/>
          <w:sz w:val="20"/>
          <w:szCs w:val="20"/>
        </w:rPr>
        <w:t>(</w:t>
      </w:r>
      <w:proofErr w:type="spellStart"/>
      <w:r w:rsidRPr="000D197A">
        <w:rPr>
          <w:rFonts w:ascii="Arial" w:hAnsi="Arial" w:cs="Arial"/>
          <w:sz w:val="20"/>
          <w:szCs w:val="20"/>
        </w:rPr>
        <w:t>Dhiraj</w:t>
      </w:r>
      <w:proofErr w:type="spellEnd"/>
      <w:r w:rsidRPr="000D197A">
        <w:rPr>
          <w:rFonts w:ascii="Arial" w:hAnsi="Arial" w:cs="Arial"/>
          <w:sz w:val="20"/>
          <w:szCs w:val="20"/>
        </w:rPr>
        <w:t xml:space="preserve"> Kumar)</w:t>
      </w:r>
    </w:p>
    <w:p w14:paraId="22B7C69E" w14:textId="77777777" w:rsidR="00511F0D" w:rsidRDefault="00511F0D" w:rsidP="00511F0D">
      <w:pPr>
        <w:pStyle w:val="NormalWeb"/>
        <w:rPr>
          <w:rFonts w:ascii="Arial" w:hAnsi="Arial" w:cs="Arial"/>
          <w:sz w:val="20"/>
          <w:szCs w:val="20"/>
        </w:rPr>
      </w:pPr>
      <w:r>
        <w:rPr>
          <w:rFonts w:ascii="Arial" w:hAnsi="Arial" w:cs="Arial"/>
          <w:sz w:val="20"/>
          <w:szCs w:val="20"/>
        </w:rPr>
        <w:t xml:space="preserve">                                                                                                                          </w:t>
      </w:r>
      <w:r w:rsidRPr="000D197A">
        <w:rPr>
          <w:rFonts w:ascii="Arial" w:hAnsi="Arial" w:cs="Arial"/>
          <w:sz w:val="20"/>
          <w:szCs w:val="20"/>
        </w:rPr>
        <w:t>Deputy General Manager</w:t>
      </w:r>
    </w:p>
    <w:p w14:paraId="7F4B4FEB" w14:textId="77777777" w:rsidR="00511F0D" w:rsidRDefault="00511F0D" w:rsidP="00511F0D">
      <w:pPr>
        <w:pStyle w:val="NormalWeb"/>
        <w:rPr>
          <w:rFonts w:ascii="Arial" w:hAnsi="Arial" w:cs="Arial"/>
          <w:sz w:val="20"/>
          <w:szCs w:val="20"/>
        </w:rPr>
      </w:pPr>
    </w:p>
    <w:p w14:paraId="0745F73D" w14:textId="77777777" w:rsidR="00511F0D" w:rsidRDefault="00511F0D" w:rsidP="00511F0D">
      <w:pPr>
        <w:spacing w:before="240" w:after="0"/>
      </w:pPr>
      <w:r>
        <w:t>More details can be referred to in the below link.</w:t>
      </w:r>
    </w:p>
    <w:p w14:paraId="222AA538" w14:textId="77777777" w:rsidR="00511F0D" w:rsidRDefault="00511F0D" w:rsidP="00511F0D">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0" w:history="1">
        <w:r w:rsidRPr="00E4714C">
          <w:rPr>
            <w:rStyle w:val="Hyperlink"/>
            <w:rFonts w:ascii="Arial" w:hAnsi="Arial" w:cs="Arial"/>
            <w:bCs/>
            <w:sz w:val="20"/>
            <w:szCs w:val="20"/>
          </w:rPr>
          <w:t>https://www.cgtmse.in/Default/ViewFile/?id=1693235486130_Circular%20no.%20229%20-%20UAM%20Mandatory.pdf&amp;path=Circular</w:t>
        </w:r>
      </w:hyperlink>
    </w:p>
    <w:p w14:paraId="591128D0" w14:textId="77777777" w:rsidR="00511F0D" w:rsidRPr="000D197A" w:rsidRDefault="00511F0D" w:rsidP="00511F0D">
      <w:pPr>
        <w:pStyle w:val="NormalWeb"/>
        <w:rPr>
          <w:rFonts w:ascii="Arial" w:hAnsi="Arial" w:cs="Arial"/>
          <w:sz w:val="20"/>
          <w:szCs w:val="20"/>
        </w:rPr>
      </w:pPr>
    </w:p>
    <w:p w14:paraId="02579ABE" w14:textId="77777777" w:rsidR="00511F0D" w:rsidRDefault="00511F0D" w:rsidP="00511F0D">
      <w:pPr>
        <w:pStyle w:val="NormalWeb"/>
        <w:rPr>
          <w:rStyle w:val="Hyperlink"/>
          <w:rFonts w:ascii="Arial" w:hAnsi="Arial" w:cs="Arial"/>
          <w:bCs/>
          <w:sz w:val="20"/>
          <w:szCs w:val="20"/>
        </w:rPr>
      </w:pPr>
    </w:p>
    <w:p w14:paraId="75D82311" w14:textId="77777777" w:rsidR="00511F0D" w:rsidRDefault="00511F0D" w:rsidP="00511F0D">
      <w:pPr>
        <w:pStyle w:val="NormalWeb"/>
        <w:rPr>
          <w:rFonts w:ascii="Arial" w:hAnsi="Arial" w:cs="Arial"/>
          <w:bCs/>
          <w:color w:val="000000"/>
          <w:sz w:val="20"/>
          <w:szCs w:val="20"/>
        </w:rPr>
      </w:pPr>
    </w:p>
    <w:bookmarkEnd w:id="18"/>
    <w:p w14:paraId="199C1B16" w14:textId="77777777" w:rsidR="00A818B8" w:rsidRPr="001B278D" w:rsidRDefault="00A818B8" w:rsidP="00A818B8">
      <w:pPr>
        <w:pStyle w:val="Heading1"/>
        <w:spacing w:before="0" w:beforeAutospacing="0" w:after="0" w:afterAutospacing="0"/>
        <w:textAlignment w:val="baseline"/>
        <w:rPr>
          <w:rFonts w:ascii="Arial" w:hAnsi="Arial" w:cs="Arial"/>
          <w:bCs w:val="0"/>
          <w:color w:val="000000"/>
          <w:sz w:val="20"/>
          <w:szCs w:val="20"/>
        </w:rPr>
      </w:pPr>
      <w:r w:rsidRPr="001B278D">
        <w:rPr>
          <w:rFonts w:ascii="Arial" w:hAnsi="Arial" w:cs="Arial"/>
          <w:bCs w:val="0"/>
          <w:color w:val="000000"/>
          <w:sz w:val="20"/>
          <w:szCs w:val="20"/>
        </w:rPr>
        <w:lastRenderedPageBreak/>
        <w:t>Technology Upgradation and Quality Certification</w:t>
      </w:r>
    </w:p>
    <w:p w14:paraId="14C7D07E" w14:textId="77777777" w:rsidR="00A818B8" w:rsidRPr="001B278D" w:rsidRDefault="00A818B8" w:rsidP="00A818B8">
      <w:pPr>
        <w:pStyle w:val="Heading1"/>
        <w:spacing w:before="0" w:beforeAutospacing="0" w:after="0" w:afterAutospacing="0"/>
        <w:textAlignment w:val="baseline"/>
        <w:rPr>
          <w:rFonts w:ascii="Arial" w:hAnsi="Arial" w:cs="Arial"/>
          <w:bCs w:val="0"/>
          <w:color w:val="000000"/>
          <w:sz w:val="20"/>
          <w:szCs w:val="20"/>
        </w:rPr>
      </w:pPr>
      <w:r w:rsidRPr="001B278D">
        <w:rPr>
          <w:rFonts w:ascii="Arial" w:hAnsi="Arial" w:cs="Arial"/>
          <w:bCs w:val="0"/>
          <w:color w:val="000000"/>
          <w:sz w:val="20"/>
          <w:szCs w:val="20"/>
        </w:rPr>
        <w:t>1.3. MSME Champions Scheme</w:t>
      </w:r>
    </w:p>
    <w:p w14:paraId="50963FC6" w14:textId="77777777" w:rsidR="00A818B8" w:rsidRPr="001B278D" w:rsidRDefault="00A818B8" w:rsidP="00A818B8">
      <w:pPr>
        <w:pStyle w:val="Heading2"/>
        <w:spacing w:before="0" w:beforeAutospacing="0" w:after="0" w:afterAutospacing="0"/>
        <w:textAlignment w:val="baseline"/>
        <w:rPr>
          <w:rFonts w:ascii="Arial" w:hAnsi="Arial" w:cs="Arial"/>
          <w:bCs w:val="0"/>
          <w:color w:val="020202"/>
          <w:sz w:val="20"/>
          <w:szCs w:val="20"/>
        </w:rPr>
      </w:pPr>
      <w:r w:rsidRPr="001B278D">
        <w:rPr>
          <w:rFonts w:ascii="Arial" w:hAnsi="Arial" w:cs="Arial"/>
          <w:bCs w:val="0"/>
          <w:color w:val="020202"/>
          <w:sz w:val="20"/>
          <w:szCs w:val="20"/>
        </w:rPr>
        <w:t>1.3.1. MSME Champions Scheme (Erstwhile CLCS-TUS)</w:t>
      </w:r>
    </w:p>
    <w:p w14:paraId="2F196C24" w14:textId="77777777" w:rsidR="00A818B8" w:rsidRPr="001B278D" w:rsidRDefault="00A818B8" w:rsidP="00A818B8">
      <w:pPr>
        <w:pStyle w:val="Heading2"/>
        <w:spacing w:before="0" w:beforeAutospacing="0" w:after="0" w:afterAutospacing="0"/>
        <w:textAlignment w:val="baseline"/>
        <w:rPr>
          <w:rFonts w:ascii="Arial" w:hAnsi="Arial" w:cs="Arial"/>
          <w:b w:val="0"/>
          <w:bCs w:val="0"/>
          <w:color w:val="020202"/>
          <w:sz w:val="20"/>
          <w:szCs w:val="20"/>
        </w:rPr>
      </w:pPr>
    </w:p>
    <w:tbl>
      <w:tblPr>
        <w:tblW w:w="5000"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264"/>
        <w:gridCol w:w="7746"/>
      </w:tblGrid>
      <w:tr w:rsidR="00A818B8" w:rsidRPr="001B278D" w14:paraId="464F48B9"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7D56796A"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Related Scheme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797CDDA0"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MSME Champions Scheme (Erstwhile CLCS-TUS)</w:t>
            </w:r>
          </w:p>
        </w:tc>
      </w:tr>
      <w:tr w:rsidR="00A818B8" w:rsidRPr="001B278D" w14:paraId="6C4C24BA"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AA5B5F3"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Objective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724215D3"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Ministry of MSME has been implementing Credit Linked Capital Subsidy and Technology Upgradation Scheme (CLCS-TUS) for promoting competitiveness amongst Micro, Small and Medium Enterprises (MSMEs) by the way of wastage reduction through Lean Manufacturing, support for Design improvement, building awareness on Intellectual Property Rights, Zero Defect Zero Effect (ZED) Scheme, digitally empowerment of MSME through Digital MSME and to promote &amp; support untapped creativity of individual and to promote adoption of latest technologies in manufacturing as well as knowledge based innovation MSMEs through Incubation across India.</w:t>
            </w:r>
            <w:r w:rsidRPr="001B278D">
              <w:rPr>
                <w:rFonts w:ascii="Arial" w:hAnsi="Arial" w:cs="Arial"/>
                <w:sz w:val="20"/>
                <w:szCs w:val="20"/>
              </w:rPr>
              <w:br/>
            </w:r>
            <w:r w:rsidRPr="001B278D">
              <w:rPr>
                <w:rFonts w:ascii="Arial" w:hAnsi="Arial" w:cs="Arial"/>
                <w:sz w:val="20"/>
                <w:szCs w:val="20"/>
              </w:rPr>
              <w:br/>
              <w:t xml:space="preserve">MSME Champions scheme has been formulated through Standing Finance Committee (SFC) by merging all 6 components of erstwhile Technology Upgradation Scheme (TUS) for a period of 5years </w:t>
            </w:r>
            <w:proofErr w:type="spellStart"/>
            <w:r w:rsidRPr="001B278D">
              <w:rPr>
                <w:rFonts w:ascii="Arial" w:hAnsi="Arial" w:cs="Arial"/>
                <w:sz w:val="20"/>
                <w:szCs w:val="20"/>
              </w:rPr>
              <w:t>i.e</w:t>
            </w:r>
            <w:proofErr w:type="spellEnd"/>
            <w:r w:rsidRPr="001B278D">
              <w:rPr>
                <w:rFonts w:ascii="Arial" w:hAnsi="Arial" w:cs="Arial"/>
                <w:sz w:val="20"/>
                <w:szCs w:val="20"/>
              </w:rPr>
              <w:t xml:space="preserve"> 2021-22 to 2025-26. It is a Holistic Approach to unify, synergize and converge various schemes and Interventions with a single purpose. The end objective is to pick up clusters and enterprises and modernize their processes, reduce wastages, sharpen business competitiveness and facilitate their National and Global reach and excellence. There are 3 components under the new MSME Champions scheme, the details of which are as below:</w:t>
            </w:r>
          </w:p>
        </w:tc>
      </w:tr>
      <w:tr w:rsidR="00A818B8" w:rsidRPr="001B278D" w14:paraId="2F6E733D"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4029F51F"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Who can apply?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24AD825A"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Any MSE unit</w:t>
            </w:r>
          </w:p>
        </w:tc>
      </w:tr>
      <w:tr w:rsidR="00A818B8" w:rsidRPr="001B278D" w14:paraId="279D96FF"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3B47BC02"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4A047231"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MSME-Sustainable (ZED)</w:t>
            </w:r>
          </w:p>
        </w:tc>
      </w:tr>
      <w:tr w:rsidR="00A818B8" w:rsidRPr="001B278D" w14:paraId="6989F93B"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3B67C44"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2.</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ACA2F6B"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MSME-Competitive (Lean)</w:t>
            </w:r>
          </w:p>
        </w:tc>
      </w:tr>
      <w:tr w:rsidR="00A818B8" w:rsidRPr="001B278D" w14:paraId="3266C59E"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D2B32DC"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3.</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2D4B0760"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MSME-Innovative(for Incubation, IPR, Design and Digital MSME)</w:t>
            </w:r>
          </w:p>
        </w:tc>
      </w:tr>
      <w:tr w:rsidR="00A818B8" w:rsidRPr="001B278D" w14:paraId="71B2547F"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2BB80CC6" w14:textId="77777777" w:rsidR="00A818B8" w:rsidRPr="001B278D" w:rsidRDefault="00A818B8" w:rsidP="00BD77F5">
            <w:pPr>
              <w:spacing w:line="374" w:lineRule="atLeast"/>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4ECEE19E" w14:textId="77777777" w:rsidR="00A818B8" w:rsidRPr="001B278D" w:rsidRDefault="00A818B8"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The Digital MSME will be interlinked with all the other components of the MSME Champions Scheme.</w:t>
            </w:r>
          </w:p>
        </w:tc>
      </w:tr>
      <w:tr w:rsidR="00A818B8" w:rsidRPr="001B278D" w14:paraId="4B5FEC1E" w14:textId="77777777" w:rsidTr="00BD77F5">
        <w:tc>
          <w:tcPr>
            <w:tcW w:w="0" w:type="auto"/>
            <w:gridSpan w:val="2"/>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1606DC4" w14:textId="77777777" w:rsidR="00A818B8" w:rsidRPr="001B278D" w:rsidRDefault="00DE7EEB" w:rsidP="00BD77F5">
            <w:pPr>
              <w:spacing w:line="374" w:lineRule="atLeast"/>
              <w:rPr>
                <w:rFonts w:ascii="Arial" w:hAnsi="Arial" w:cs="Arial"/>
                <w:sz w:val="20"/>
                <w:szCs w:val="20"/>
              </w:rPr>
            </w:pPr>
            <w:hyperlink r:id="rId41" w:tgtFrame="_parent" w:history="1">
              <w:r w:rsidR="00A818B8" w:rsidRPr="001B278D">
                <w:rPr>
                  <w:rStyle w:val="Hyperlink"/>
                  <w:rFonts w:ascii="Arial" w:hAnsi="Arial" w:cs="Arial"/>
                  <w:color w:val="1253CA"/>
                  <w:sz w:val="20"/>
                  <w:szCs w:val="20"/>
                  <w:u w:val="none"/>
                </w:rPr>
                <w:t>Download Scheme Guidelines</w:t>
              </w:r>
            </w:hyperlink>
          </w:p>
        </w:tc>
      </w:tr>
    </w:tbl>
    <w:p w14:paraId="39F214AA" w14:textId="77777777" w:rsidR="00A818B8" w:rsidRPr="001B278D" w:rsidRDefault="00A818B8" w:rsidP="00A818B8">
      <w:pPr>
        <w:pStyle w:val="Heading1"/>
        <w:spacing w:before="0" w:beforeAutospacing="0" w:after="0" w:afterAutospacing="0"/>
        <w:textAlignment w:val="baseline"/>
        <w:rPr>
          <w:rFonts w:ascii="Arial" w:hAnsi="Arial" w:cs="Arial"/>
          <w:b w:val="0"/>
          <w:bCs w:val="0"/>
          <w:color w:val="000000"/>
          <w:sz w:val="20"/>
          <w:szCs w:val="20"/>
        </w:rPr>
      </w:pPr>
      <w:r w:rsidRPr="001B278D">
        <w:rPr>
          <w:rFonts w:ascii="Arial" w:hAnsi="Arial" w:cs="Arial"/>
          <w:b w:val="0"/>
          <w:bCs w:val="0"/>
          <w:color w:val="000000"/>
          <w:sz w:val="20"/>
          <w:szCs w:val="20"/>
        </w:rPr>
        <w:t>1.3.2 MSME SUSTAINABLE (ZED) CERTIFICATION</w:t>
      </w:r>
    </w:p>
    <w:tbl>
      <w:tblPr>
        <w:tblW w:w="5000"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3752"/>
        <w:gridCol w:w="5258"/>
      </w:tblGrid>
      <w:tr w:rsidR="00A818B8" w:rsidRPr="001B278D" w14:paraId="0895FB18"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170F8877"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Related Scheme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49F2F461"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MSME SUSTAINABLE (ZED) CERTIFICATION</w:t>
            </w:r>
          </w:p>
        </w:tc>
      </w:tr>
      <w:tr w:rsidR="00A818B8" w:rsidRPr="001B278D" w14:paraId="6C6CDE9F"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7CCE70A0"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Objective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16C3B113"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The ZED Certification envisages promotion of Zero Defect Zero Effect (ZED) practices amongst MSMEs so as to:</w:t>
            </w:r>
            <w:r w:rsidRPr="001B278D">
              <w:rPr>
                <w:rFonts w:ascii="Arial" w:hAnsi="Arial" w:cs="Arial"/>
                <w:sz w:val="20"/>
                <w:szCs w:val="20"/>
              </w:rPr>
              <w:br/>
            </w:r>
            <w:r w:rsidRPr="001B278D">
              <w:rPr>
                <w:rFonts w:ascii="Arial" w:hAnsi="Arial" w:cs="Arial"/>
                <w:sz w:val="20"/>
                <w:szCs w:val="20"/>
              </w:rPr>
              <w:br/>
              <w:t>• Encourage and enable MSMEs for manufacturing of quality products using latest technology, tools &amp; to constantly upgrade their processes for achievement of high quality and high productivity with the least effect on the environment</w:t>
            </w:r>
            <w:r w:rsidRPr="001B278D">
              <w:rPr>
                <w:rFonts w:ascii="Arial" w:hAnsi="Arial" w:cs="Arial"/>
                <w:sz w:val="20"/>
                <w:szCs w:val="20"/>
              </w:rPr>
              <w:br/>
            </w:r>
            <w:r w:rsidRPr="001B278D">
              <w:rPr>
                <w:rFonts w:ascii="Arial" w:hAnsi="Arial" w:cs="Arial"/>
                <w:sz w:val="20"/>
                <w:szCs w:val="20"/>
              </w:rPr>
              <w:br/>
              <w:t>• Develop an Ecosystem for ZED Manufacturing in MSMEs, for enhancing competitiveness and enabling exports</w:t>
            </w:r>
            <w:r w:rsidRPr="001B278D">
              <w:rPr>
                <w:rFonts w:ascii="Arial" w:hAnsi="Arial" w:cs="Arial"/>
                <w:sz w:val="20"/>
                <w:szCs w:val="20"/>
              </w:rPr>
              <w:br/>
            </w:r>
            <w:r w:rsidRPr="001B278D">
              <w:rPr>
                <w:rFonts w:ascii="Arial" w:hAnsi="Arial" w:cs="Arial"/>
                <w:sz w:val="20"/>
                <w:szCs w:val="20"/>
              </w:rPr>
              <w:br/>
              <w:t>• Promote adoption of ZED practices and recognising the efforts of successful MSMEs</w:t>
            </w:r>
            <w:r w:rsidRPr="001B278D">
              <w:rPr>
                <w:rFonts w:ascii="Arial" w:hAnsi="Arial" w:cs="Arial"/>
                <w:sz w:val="20"/>
                <w:szCs w:val="20"/>
              </w:rPr>
              <w:br/>
            </w:r>
            <w:r w:rsidRPr="001B278D">
              <w:rPr>
                <w:rFonts w:ascii="Arial" w:hAnsi="Arial" w:cs="Arial"/>
                <w:sz w:val="20"/>
                <w:szCs w:val="20"/>
              </w:rPr>
              <w:br/>
              <w:t>• Encourage MSMEs to achieve higher ZED Certification levels through graded incentives</w:t>
            </w:r>
            <w:r w:rsidRPr="001B278D">
              <w:rPr>
                <w:rFonts w:ascii="Arial" w:hAnsi="Arial" w:cs="Arial"/>
                <w:sz w:val="20"/>
                <w:szCs w:val="20"/>
              </w:rPr>
              <w:br/>
            </w:r>
            <w:r w:rsidRPr="001B278D">
              <w:rPr>
                <w:rFonts w:ascii="Arial" w:hAnsi="Arial" w:cs="Arial"/>
                <w:sz w:val="20"/>
                <w:szCs w:val="20"/>
              </w:rPr>
              <w:br/>
              <w:t>• Increase public awareness on demanding Zero Defect and Zero Effect products through the MSME Sustainable (ZED) Certification</w:t>
            </w:r>
            <w:r w:rsidRPr="001B278D">
              <w:rPr>
                <w:rFonts w:ascii="Arial" w:hAnsi="Arial" w:cs="Arial"/>
                <w:sz w:val="20"/>
                <w:szCs w:val="20"/>
              </w:rPr>
              <w:br/>
            </w:r>
            <w:r w:rsidRPr="001B278D">
              <w:rPr>
                <w:rFonts w:ascii="Arial" w:hAnsi="Arial" w:cs="Arial"/>
                <w:sz w:val="20"/>
                <w:szCs w:val="20"/>
              </w:rPr>
              <w:br/>
              <w:t>• Identify areas to improve upon, thereby assisting the Government in policy decisions and investment prioritization</w:t>
            </w:r>
          </w:p>
        </w:tc>
      </w:tr>
      <w:tr w:rsidR="00A818B8" w:rsidRPr="001B278D" w14:paraId="1BF230B1"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27A566DC"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lastRenderedPageBreak/>
              <w:t>Nature of assistance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0F67CB62"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Cost of Certification</w:t>
            </w:r>
            <w:r w:rsidRPr="001B278D">
              <w:rPr>
                <w:rFonts w:ascii="Arial" w:hAnsi="Arial" w:cs="Arial"/>
                <w:sz w:val="20"/>
                <w:szCs w:val="20"/>
              </w:rPr>
              <w:br/>
            </w:r>
            <w:r w:rsidRPr="001B278D">
              <w:rPr>
                <w:rFonts w:ascii="Arial" w:hAnsi="Arial" w:cs="Arial"/>
                <w:sz w:val="20"/>
                <w:szCs w:val="20"/>
              </w:rPr>
              <w:br/>
              <w:t>a) a) Certification Level 1: BRONZE: Rs. 10,000/-</w:t>
            </w:r>
            <w:r w:rsidRPr="001B278D">
              <w:rPr>
                <w:rFonts w:ascii="Arial" w:hAnsi="Arial" w:cs="Arial"/>
                <w:sz w:val="20"/>
                <w:szCs w:val="20"/>
              </w:rPr>
              <w:br/>
            </w:r>
            <w:r w:rsidRPr="001B278D">
              <w:rPr>
                <w:rFonts w:ascii="Arial" w:hAnsi="Arial" w:cs="Arial"/>
                <w:sz w:val="20"/>
                <w:szCs w:val="20"/>
              </w:rPr>
              <w:br/>
              <w:t>b) b) Certification Level 2: SILVER: Rs. 40,000/-</w:t>
            </w:r>
            <w:r w:rsidRPr="001B278D">
              <w:rPr>
                <w:rFonts w:ascii="Arial" w:hAnsi="Arial" w:cs="Arial"/>
                <w:sz w:val="20"/>
                <w:szCs w:val="20"/>
              </w:rPr>
              <w:br/>
            </w:r>
            <w:r w:rsidRPr="001B278D">
              <w:rPr>
                <w:rFonts w:ascii="Arial" w:hAnsi="Arial" w:cs="Arial"/>
                <w:sz w:val="20"/>
                <w:szCs w:val="20"/>
              </w:rPr>
              <w:br/>
              <w:t>c) c) Certification Level 3: GOLD: Rs. 90,000/-</w:t>
            </w:r>
          </w:p>
        </w:tc>
      </w:tr>
      <w:tr w:rsidR="00A818B8" w:rsidRPr="001B278D" w14:paraId="16249D88"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3542B1B8" w14:textId="77777777" w:rsidR="00A818B8" w:rsidRPr="001B278D" w:rsidRDefault="00A818B8"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Subsidy on cost of ZED certification:</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5AA8BB41"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 Joining Reward of Rs. 10,000/- (Bronze will become free if availed)</w:t>
            </w:r>
            <w:r w:rsidRPr="001B278D">
              <w:rPr>
                <w:rFonts w:ascii="Arial" w:hAnsi="Arial" w:cs="Arial"/>
                <w:sz w:val="20"/>
                <w:szCs w:val="20"/>
              </w:rPr>
              <w:br/>
            </w:r>
            <w:r w:rsidRPr="001B278D">
              <w:rPr>
                <w:rFonts w:ascii="Arial" w:hAnsi="Arial" w:cs="Arial"/>
                <w:sz w:val="20"/>
                <w:szCs w:val="20"/>
              </w:rPr>
              <w:br/>
              <w:t>• 80-60-50% for Bronze, Silver &amp; Gold ZED certified MSMEs</w:t>
            </w:r>
          </w:p>
        </w:tc>
      </w:tr>
      <w:tr w:rsidR="00A818B8" w:rsidRPr="001B278D" w14:paraId="075AFA52"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15BC39FC" w14:textId="77777777" w:rsidR="00A818B8" w:rsidRPr="001B278D" w:rsidRDefault="00A818B8"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Additional subsidy: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71092846"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 10% for Women/SC/ST owned MSMEs OR MSMEs in NER/Himalayan/LWE/Island territories/aspirational districts.</w:t>
            </w:r>
            <w:r w:rsidRPr="001B278D">
              <w:rPr>
                <w:rFonts w:ascii="Arial" w:hAnsi="Arial" w:cs="Arial"/>
                <w:sz w:val="20"/>
                <w:szCs w:val="20"/>
              </w:rPr>
              <w:br/>
            </w:r>
            <w:r w:rsidRPr="001B278D">
              <w:rPr>
                <w:rFonts w:ascii="Arial" w:hAnsi="Arial" w:cs="Arial"/>
                <w:sz w:val="20"/>
                <w:szCs w:val="20"/>
              </w:rPr>
              <w:br/>
              <w:t>• 5% for MSMEs which are also a part of the SFURTI OR Micro &amp; Small Enterprises - Cluster Development Programme (MSE-CDP) of the Ministry.</w:t>
            </w:r>
          </w:p>
        </w:tc>
      </w:tr>
      <w:tr w:rsidR="00A818B8" w:rsidRPr="001B278D" w14:paraId="61DD9925"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4841DD0D" w14:textId="77777777" w:rsidR="00A818B8" w:rsidRPr="001B278D" w:rsidRDefault="00A818B8"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Financial Assistance in Testing/Quality/Product Certification:</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21CA1D95"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 Up to 75% of the total cost of Testing/Certification, with the maximum ceiling of subsidy being Rs. 50,000/-</w:t>
            </w:r>
          </w:p>
        </w:tc>
      </w:tr>
      <w:tr w:rsidR="00A818B8" w:rsidRPr="001B278D" w14:paraId="4436DDBE"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0D490D3E" w14:textId="77777777" w:rsidR="00A818B8" w:rsidRPr="001B278D" w:rsidRDefault="00A818B8"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Handholding/Consultancy Support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468DAD1C"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Up-to Rs.2 lakh for handholding/Consultancy in order to achieve the next Certification Level.</w:t>
            </w:r>
          </w:p>
        </w:tc>
      </w:tr>
      <w:tr w:rsidR="00A818B8" w:rsidRPr="001B278D" w14:paraId="33B8A8FE"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07E5A24F" w14:textId="77777777" w:rsidR="00A818B8" w:rsidRPr="001B278D" w:rsidRDefault="00A818B8"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Support in Technology Upgradation for Zero Effect Solutions:</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0F9073D7"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 Up-to Rs. 3 lakhs for moving towards zero effect solutions/pollution control measures/cleaner technology</w:t>
            </w:r>
          </w:p>
        </w:tc>
      </w:tr>
      <w:tr w:rsidR="00A818B8" w:rsidRPr="001B278D" w14:paraId="2AF4068F"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4E37E05B" w14:textId="77777777" w:rsidR="00A818B8" w:rsidRPr="001B278D" w:rsidRDefault="00A818B8"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 xml:space="preserve">MSME KAWACH (Knowledge Acquisition through WASH for an </w:t>
            </w:r>
            <w:r w:rsidRPr="001B278D">
              <w:rPr>
                <w:rFonts w:ascii="Arial" w:hAnsi="Arial" w:cs="Arial"/>
                <w:b/>
                <w:bCs/>
                <w:sz w:val="20"/>
                <w:szCs w:val="20"/>
                <w:bdr w:val="none" w:sz="0" w:space="0" w:color="auto" w:frame="1"/>
              </w:rPr>
              <w:lastRenderedPageBreak/>
              <w:t>Accelerated COVID-19 Handling) Certification:</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50A6D2DB"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lastRenderedPageBreak/>
              <w:t xml:space="preserve">After taking ZED Pledge, MSMEs can </w:t>
            </w:r>
            <w:proofErr w:type="spellStart"/>
            <w:r w:rsidRPr="001B278D">
              <w:rPr>
                <w:rFonts w:ascii="Arial" w:hAnsi="Arial" w:cs="Arial"/>
                <w:sz w:val="20"/>
                <w:szCs w:val="20"/>
              </w:rPr>
              <w:t>self certify</w:t>
            </w:r>
            <w:proofErr w:type="spellEnd"/>
            <w:r w:rsidRPr="001B278D">
              <w:rPr>
                <w:rFonts w:ascii="Arial" w:hAnsi="Arial" w:cs="Arial"/>
                <w:sz w:val="20"/>
                <w:szCs w:val="20"/>
              </w:rPr>
              <w:t xml:space="preserve"> their preparedness on </w:t>
            </w:r>
            <w:proofErr w:type="spellStart"/>
            <w:r w:rsidRPr="001B278D">
              <w:rPr>
                <w:rFonts w:ascii="Arial" w:hAnsi="Arial" w:cs="Arial"/>
                <w:sz w:val="20"/>
                <w:szCs w:val="20"/>
              </w:rPr>
              <w:t>Covid</w:t>
            </w:r>
            <w:proofErr w:type="spellEnd"/>
            <w:r w:rsidRPr="001B278D">
              <w:rPr>
                <w:rFonts w:ascii="Arial" w:hAnsi="Arial" w:cs="Arial"/>
                <w:sz w:val="20"/>
                <w:szCs w:val="20"/>
              </w:rPr>
              <w:t xml:space="preserve"> 19 risk.</w:t>
            </w:r>
          </w:p>
        </w:tc>
      </w:tr>
      <w:tr w:rsidR="00A818B8" w:rsidRPr="001B278D" w14:paraId="42FE752D"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EAC5E1C" w14:textId="77777777" w:rsidR="00A818B8" w:rsidRPr="001B278D" w:rsidRDefault="00A818B8"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lastRenderedPageBreak/>
              <w:t>Graded incentives:</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5A340EB"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MSMEs can avail graded incentives as prescribed for the three ZED Certification Levels. Wherever possible, the incentives provided by States will be linked through API integration with the ZED portal to ensure interoperability.</w:t>
            </w:r>
          </w:p>
        </w:tc>
      </w:tr>
      <w:tr w:rsidR="00A818B8" w:rsidRPr="001B278D" w14:paraId="7B2F62FB"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36E21837" w14:textId="77777777" w:rsidR="00A818B8" w:rsidRPr="001B278D" w:rsidRDefault="00A818B8"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Eligibility/ Applicability: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1AC7B9CB"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 xml:space="preserve">All MSMEs registered with the UDYAM registration portal (of the </w:t>
            </w:r>
            <w:proofErr w:type="spellStart"/>
            <w:r w:rsidRPr="001B278D">
              <w:rPr>
                <w:rFonts w:ascii="Arial" w:hAnsi="Arial" w:cs="Arial"/>
                <w:sz w:val="20"/>
                <w:szCs w:val="20"/>
              </w:rPr>
              <w:t>MoMSME</w:t>
            </w:r>
            <w:proofErr w:type="spellEnd"/>
            <w:r w:rsidRPr="001B278D">
              <w:rPr>
                <w:rFonts w:ascii="Arial" w:hAnsi="Arial" w:cs="Arial"/>
                <w:sz w:val="20"/>
                <w:szCs w:val="20"/>
              </w:rPr>
              <w:t>) will be eligible to participate in MSME Sustainable (ZED) Certification and avail related benefits/incentives.</w:t>
            </w:r>
          </w:p>
        </w:tc>
      </w:tr>
      <w:tr w:rsidR="00A818B8" w:rsidRPr="001B278D" w14:paraId="589E0087"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3F526E6"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How to Apply: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4EE23F2A"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Eligible MSMEs shall apply through online portal</w:t>
            </w:r>
            <w:r w:rsidRPr="001B278D">
              <w:rPr>
                <w:rFonts w:ascii="Arial" w:hAnsi="Arial" w:cs="Arial"/>
                <w:sz w:val="20"/>
                <w:szCs w:val="20"/>
              </w:rPr>
              <w:br/>
              <w:t>Email: </w:t>
            </w:r>
            <w:hyperlink r:id="rId42" w:history="1">
              <w:r w:rsidRPr="001B278D">
                <w:rPr>
                  <w:rStyle w:val="Hyperlink"/>
                  <w:rFonts w:ascii="Arial" w:hAnsi="Arial" w:cs="Arial"/>
                  <w:color w:val="1253CA"/>
                  <w:sz w:val="20"/>
                  <w:szCs w:val="20"/>
                  <w:u w:val="none"/>
                </w:rPr>
                <w:t>https://zed.msme.gov.in/</w:t>
              </w:r>
            </w:hyperlink>
            <w:r w:rsidRPr="001B278D">
              <w:rPr>
                <w:rFonts w:ascii="Arial" w:hAnsi="Arial" w:cs="Arial"/>
                <w:sz w:val="20"/>
                <w:szCs w:val="20"/>
              </w:rPr>
              <w:br/>
              <w:t>Phone no: 011-23708371</w:t>
            </w:r>
            <w:r w:rsidRPr="001B278D">
              <w:rPr>
                <w:rFonts w:ascii="Arial" w:hAnsi="Arial" w:cs="Arial"/>
                <w:sz w:val="20"/>
                <w:szCs w:val="20"/>
              </w:rPr>
              <w:br/>
              <w:t>The guidelines of ZED scheme is available on </w:t>
            </w:r>
            <w:hyperlink r:id="rId43" w:history="1">
              <w:r w:rsidRPr="001B278D">
                <w:rPr>
                  <w:rStyle w:val="Hyperlink"/>
                  <w:rFonts w:ascii="Arial" w:hAnsi="Arial" w:cs="Arial"/>
                  <w:color w:val="1253CA"/>
                  <w:sz w:val="20"/>
                  <w:szCs w:val="20"/>
                  <w:u w:val="none"/>
                </w:rPr>
                <w:t>https://zed.msme.gov.in/</w:t>
              </w:r>
            </w:hyperlink>
          </w:p>
        </w:tc>
      </w:tr>
      <w:tr w:rsidR="00A818B8" w:rsidRPr="001B278D" w14:paraId="1316479D"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408725D1"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Contact: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1BC2968C"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 xml:space="preserve">Office of Development Commissioner (MSME), Ministry of MSME, </w:t>
            </w:r>
            <w:proofErr w:type="spellStart"/>
            <w:r w:rsidRPr="001B278D">
              <w:rPr>
                <w:rFonts w:ascii="Arial" w:hAnsi="Arial" w:cs="Arial"/>
                <w:sz w:val="20"/>
                <w:szCs w:val="20"/>
              </w:rPr>
              <w:t>Nirman</w:t>
            </w:r>
            <w:proofErr w:type="spellEnd"/>
            <w:r w:rsidRPr="001B278D">
              <w:rPr>
                <w:rFonts w:ascii="Arial" w:hAnsi="Arial" w:cs="Arial"/>
                <w:sz w:val="20"/>
                <w:szCs w:val="20"/>
              </w:rPr>
              <w:t xml:space="preserve"> </w:t>
            </w:r>
            <w:proofErr w:type="spellStart"/>
            <w:r w:rsidRPr="001B278D">
              <w:rPr>
                <w:rFonts w:ascii="Arial" w:hAnsi="Arial" w:cs="Arial"/>
                <w:sz w:val="20"/>
                <w:szCs w:val="20"/>
              </w:rPr>
              <w:t>Bhawan</w:t>
            </w:r>
            <w:proofErr w:type="spellEnd"/>
            <w:r w:rsidRPr="001B278D">
              <w:rPr>
                <w:rFonts w:ascii="Arial" w:hAnsi="Arial" w:cs="Arial"/>
                <w:sz w:val="20"/>
                <w:szCs w:val="20"/>
              </w:rPr>
              <w:t>, New Delhi. </w:t>
            </w:r>
            <w:hyperlink r:id="rId44" w:history="1">
              <w:r w:rsidRPr="001B278D">
                <w:rPr>
                  <w:rStyle w:val="Hyperlink"/>
                  <w:rFonts w:ascii="Arial" w:hAnsi="Arial" w:cs="Arial"/>
                  <w:color w:val="1253CA"/>
                  <w:sz w:val="20"/>
                  <w:szCs w:val="20"/>
                  <w:u w:val="none"/>
                </w:rPr>
                <w:t>https://zed.msme.gov.in/</w:t>
              </w:r>
            </w:hyperlink>
          </w:p>
        </w:tc>
      </w:tr>
      <w:tr w:rsidR="00A818B8" w:rsidRPr="001B278D" w14:paraId="4BA35316"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58C601D7" w14:textId="77777777" w:rsidR="00A818B8" w:rsidRPr="001B278D" w:rsidRDefault="00A818B8" w:rsidP="00BD77F5">
            <w:pPr>
              <w:spacing w:line="374" w:lineRule="atLeast"/>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3F416A99"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Quality Council of India (QCI) is the Implementing Agency of the Scheme.</w:t>
            </w:r>
          </w:p>
        </w:tc>
      </w:tr>
      <w:tr w:rsidR="00A818B8" w:rsidRPr="001B278D" w14:paraId="3B4D4A91" w14:textId="77777777" w:rsidTr="00BD77F5">
        <w:tc>
          <w:tcPr>
            <w:tcW w:w="0" w:type="auto"/>
            <w:gridSpan w:val="2"/>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53B75539" w14:textId="77777777" w:rsidR="00A818B8" w:rsidRPr="001B278D" w:rsidRDefault="00DE7EEB" w:rsidP="00BD77F5">
            <w:pPr>
              <w:spacing w:line="374" w:lineRule="atLeast"/>
              <w:rPr>
                <w:rFonts w:ascii="Arial" w:hAnsi="Arial" w:cs="Arial"/>
                <w:sz w:val="20"/>
                <w:szCs w:val="20"/>
              </w:rPr>
            </w:pPr>
            <w:hyperlink r:id="rId45" w:tgtFrame="_parent" w:history="1">
              <w:r w:rsidR="00A818B8" w:rsidRPr="001B278D">
                <w:rPr>
                  <w:rStyle w:val="Hyperlink"/>
                  <w:rFonts w:ascii="Arial" w:hAnsi="Arial" w:cs="Arial"/>
                  <w:color w:val="1253CA"/>
                  <w:sz w:val="20"/>
                  <w:szCs w:val="20"/>
                  <w:u w:val="none"/>
                </w:rPr>
                <w:t>Download Scheme Guidelines</w:t>
              </w:r>
            </w:hyperlink>
          </w:p>
        </w:tc>
      </w:tr>
    </w:tbl>
    <w:p w14:paraId="1F3274DE" w14:textId="77777777" w:rsidR="00A818B8" w:rsidRPr="001B278D" w:rsidRDefault="00A818B8" w:rsidP="00A818B8">
      <w:pPr>
        <w:pStyle w:val="Heading1"/>
        <w:spacing w:before="0" w:beforeAutospacing="0" w:after="0" w:afterAutospacing="0"/>
        <w:textAlignment w:val="baseline"/>
        <w:rPr>
          <w:rFonts w:ascii="Arial" w:hAnsi="Arial" w:cs="Arial"/>
          <w:b w:val="0"/>
          <w:bCs w:val="0"/>
          <w:color w:val="000000"/>
          <w:sz w:val="20"/>
          <w:szCs w:val="20"/>
        </w:rPr>
      </w:pPr>
      <w:r w:rsidRPr="001B278D">
        <w:rPr>
          <w:rFonts w:ascii="Arial" w:hAnsi="Arial" w:cs="Arial"/>
          <w:b w:val="0"/>
          <w:bCs w:val="0"/>
          <w:color w:val="000000"/>
          <w:sz w:val="20"/>
          <w:szCs w:val="20"/>
        </w:rPr>
        <w:t>1.3.3. MSME-COMPETITIVE (LEAN)</w:t>
      </w:r>
      <w:r w:rsidRPr="001B278D">
        <w:rPr>
          <w:rFonts w:ascii="Arial" w:hAnsi="Arial" w:cs="Arial"/>
          <w:b w:val="0"/>
          <w:bCs w:val="0"/>
          <w:color w:val="000000"/>
          <w:sz w:val="20"/>
          <w:szCs w:val="20"/>
        </w:rPr>
        <w:br/>
        <w:t>(A component of MSME Champions scheme)</w:t>
      </w:r>
    </w:p>
    <w:tbl>
      <w:tblPr>
        <w:tblW w:w="5000"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704"/>
        <w:gridCol w:w="7306"/>
      </w:tblGrid>
      <w:tr w:rsidR="00A818B8" w:rsidRPr="001B278D" w14:paraId="74FDC7CA"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DBA3A78"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Related Scheme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1C61F4EC"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Lean Manufacturing Competitiveness for MSMEs</w:t>
            </w:r>
          </w:p>
        </w:tc>
      </w:tr>
      <w:tr w:rsidR="00A818B8" w:rsidRPr="001B278D" w14:paraId="6A2967AE"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46E68A37"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lastRenderedPageBreak/>
              <w:t>Objective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1551474F"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MSME Competitive (Lean) Scheme is an extensive drive on the part of Ministry of Micro, Small and Medium Enterprises for enhancing the competitiveness of MSME Sectors through implementation of Lean Tools and Techniques. Lean Tools and Techniques are a tested and proven methodology for improving the competitiveness of MSME sector.</w:t>
            </w:r>
          </w:p>
        </w:tc>
      </w:tr>
      <w:tr w:rsidR="00A818B8" w:rsidRPr="001B278D" w14:paraId="323F6F90"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517B7113"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Nature of assistance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07ADD134" w14:textId="77777777" w:rsidR="00A818B8" w:rsidRPr="001B278D" w:rsidRDefault="00A818B8"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Cost of Implementation:</w:t>
            </w:r>
            <w:r w:rsidRPr="001B278D">
              <w:rPr>
                <w:rFonts w:ascii="Arial" w:hAnsi="Arial" w:cs="Arial"/>
                <w:sz w:val="20"/>
                <w:szCs w:val="20"/>
              </w:rPr>
              <w:t> Basic-Free; Intermediate- Rs. 1,20,000/-; Advance- Rs. 2,40,000/-</w:t>
            </w:r>
            <w:r w:rsidRPr="001B278D">
              <w:rPr>
                <w:rFonts w:ascii="Arial" w:hAnsi="Arial" w:cs="Arial"/>
                <w:sz w:val="20"/>
                <w:szCs w:val="20"/>
              </w:rPr>
              <w:br/>
            </w:r>
            <w:r w:rsidRPr="001B278D">
              <w:rPr>
                <w:rFonts w:ascii="Arial" w:hAnsi="Arial" w:cs="Arial"/>
                <w:sz w:val="20"/>
                <w:szCs w:val="20"/>
              </w:rPr>
              <w:br/>
              <w:t>Financial Assistance to group of MSME Units for adoption of Lean tools/techniques</w:t>
            </w:r>
            <w:r w:rsidRPr="001B278D">
              <w:rPr>
                <w:rFonts w:ascii="Arial" w:hAnsi="Arial" w:cs="Arial"/>
                <w:sz w:val="20"/>
                <w:szCs w:val="20"/>
              </w:rPr>
              <w:br/>
            </w:r>
            <w:r w:rsidRPr="001B278D">
              <w:rPr>
                <w:rFonts w:ascii="Arial" w:hAnsi="Arial" w:cs="Arial"/>
                <w:sz w:val="20"/>
                <w:szCs w:val="20"/>
              </w:rPr>
              <w:br/>
              <w:t>Subsidy on cost of Implementation: 90% of Total Cost of Implementation</w:t>
            </w:r>
          </w:p>
        </w:tc>
      </w:tr>
      <w:tr w:rsidR="00A818B8" w:rsidRPr="001B278D" w14:paraId="7C774FCA"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46A7BF94" w14:textId="77777777" w:rsidR="00A818B8" w:rsidRPr="001B278D" w:rsidRDefault="00A818B8"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Eligibility/ Applicability: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2C6D698F"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 xml:space="preserve">All MSMEs registered with the UDYAM registration portal (of the </w:t>
            </w:r>
            <w:proofErr w:type="spellStart"/>
            <w:r w:rsidRPr="001B278D">
              <w:rPr>
                <w:rFonts w:ascii="Arial" w:hAnsi="Arial" w:cs="Arial"/>
                <w:sz w:val="20"/>
                <w:szCs w:val="20"/>
              </w:rPr>
              <w:t>MoMSME</w:t>
            </w:r>
            <w:proofErr w:type="spellEnd"/>
            <w:r w:rsidRPr="001B278D">
              <w:rPr>
                <w:rFonts w:ascii="Arial" w:hAnsi="Arial" w:cs="Arial"/>
                <w:sz w:val="20"/>
                <w:szCs w:val="20"/>
              </w:rPr>
              <w:t>) will be eligible to participate in MSME-COMPETITIVE (LEAN) and avail related benefits/incentives.</w:t>
            </w:r>
          </w:p>
        </w:tc>
      </w:tr>
      <w:tr w:rsidR="00A818B8" w:rsidRPr="001B278D" w14:paraId="37A3CCF2"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083CE51C"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How to apply?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232E05DE"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Eligible MSMEs shall apply through online portal.</w:t>
            </w:r>
          </w:p>
        </w:tc>
      </w:tr>
      <w:tr w:rsidR="00A818B8" w:rsidRPr="001B278D" w14:paraId="4F152391"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21FA3BB4"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Contact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17D12F6D"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 xml:space="preserve">Office of Development Commissioner (MSME), Ministry of MSME, </w:t>
            </w:r>
            <w:proofErr w:type="spellStart"/>
            <w:r w:rsidRPr="001B278D">
              <w:rPr>
                <w:rFonts w:ascii="Arial" w:hAnsi="Arial" w:cs="Arial"/>
                <w:sz w:val="20"/>
                <w:szCs w:val="20"/>
              </w:rPr>
              <w:t>Nirman</w:t>
            </w:r>
            <w:proofErr w:type="spellEnd"/>
            <w:r w:rsidRPr="001B278D">
              <w:rPr>
                <w:rFonts w:ascii="Arial" w:hAnsi="Arial" w:cs="Arial"/>
                <w:sz w:val="20"/>
                <w:szCs w:val="20"/>
              </w:rPr>
              <w:t xml:space="preserve"> </w:t>
            </w:r>
            <w:proofErr w:type="spellStart"/>
            <w:r w:rsidRPr="001B278D">
              <w:rPr>
                <w:rFonts w:ascii="Arial" w:hAnsi="Arial" w:cs="Arial"/>
                <w:sz w:val="20"/>
                <w:szCs w:val="20"/>
              </w:rPr>
              <w:t>Bhawan</w:t>
            </w:r>
            <w:proofErr w:type="spellEnd"/>
            <w:r w:rsidRPr="001B278D">
              <w:rPr>
                <w:rFonts w:ascii="Arial" w:hAnsi="Arial" w:cs="Arial"/>
                <w:sz w:val="20"/>
                <w:szCs w:val="20"/>
              </w:rPr>
              <w:t>, New Delhi. </w:t>
            </w:r>
            <w:hyperlink r:id="rId46" w:history="1">
              <w:r w:rsidRPr="001B278D">
                <w:rPr>
                  <w:rStyle w:val="Hyperlink"/>
                  <w:rFonts w:ascii="Arial" w:hAnsi="Arial" w:cs="Arial"/>
                  <w:color w:val="1253CA"/>
                  <w:sz w:val="20"/>
                  <w:szCs w:val="20"/>
                  <w:u w:val="none"/>
                </w:rPr>
                <w:t>http://www.dcmsme.gov.in</w:t>
              </w:r>
            </w:hyperlink>
          </w:p>
        </w:tc>
      </w:tr>
      <w:tr w:rsidR="00A818B8" w:rsidRPr="001B278D" w14:paraId="30FDF453"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790249A3" w14:textId="77777777" w:rsidR="00A818B8" w:rsidRPr="001B278D" w:rsidRDefault="00A818B8" w:rsidP="00BD77F5">
            <w:pPr>
              <w:spacing w:line="374" w:lineRule="atLeast"/>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7CFFBDB"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Quality Council of India (QCI) &amp; National Productivity Council (NPC) are Implementing Agencies.</w:t>
            </w:r>
          </w:p>
        </w:tc>
      </w:tr>
      <w:tr w:rsidR="00A818B8" w:rsidRPr="001B278D" w14:paraId="32A77321" w14:textId="77777777" w:rsidTr="00BD77F5">
        <w:tc>
          <w:tcPr>
            <w:tcW w:w="0" w:type="auto"/>
            <w:gridSpan w:val="2"/>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1992DFFC" w14:textId="77777777" w:rsidR="00A818B8" w:rsidRPr="001B278D" w:rsidRDefault="00DE7EEB" w:rsidP="00BD77F5">
            <w:pPr>
              <w:spacing w:line="374" w:lineRule="atLeast"/>
              <w:rPr>
                <w:rFonts w:ascii="Arial" w:hAnsi="Arial" w:cs="Arial"/>
                <w:sz w:val="20"/>
                <w:szCs w:val="20"/>
              </w:rPr>
            </w:pPr>
            <w:hyperlink r:id="rId47" w:history="1">
              <w:r w:rsidR="00A818B8" w:rsidRPr="001B278D">
                <w:rPr>
                  <w:rStyle w:val="Hyperlink"/>
                  <w:rFonts w:ascii="Arial" w:hAnsi="Arial" w:cs="Arial"/>
                  <w:color w:val="1253CA"/>
                  <w:sz w:val="20"/>
                  <w:szCs w:val="20"/>
                  <w:u w:val="none"/>
                </w:rPr>
                <w:t>Download Scheme Guidelines</w:t>
              </w:r>
            </w:hyperlink>
          </w:p>
        </w:tc>
      </w:tr>
    </w:tbl>
    <w:p w14:paraId="5CF895C0" w14:textId="77777777" w:rsidR="00A818B8" w:rsidRPr="001B278D" w:rsidRDefault="00A818B8" w:rsidP="00A818B8">
      <w:pPr>
        <w:pStyle w:val="Heading1"/>
        <w:spacing w:before="0" w:beforeAutospacing="0" w:after="0" w:afterAutospacing="0"/>
        <w:textAlignment w:val="baseline"/>
        <w:rPr>
          <w:rFonts w:ascii="Arial" w:hAnsi="Arial" w:cs="Arial"/>
          <w:b w:val="0"/>
          <w:bCs w:val="0"/>
          <w:color w:val="000000"/>
          <w:sz w:val="20"/>
          <w:szCs w:val="20"/>
        </w:rPr>
      </w:pPr>
      <w:r w:rsidRPr="001B278D">
        <w:rPr>
          <w:rFonts w:ascii="Arial" w:hAnsi="Arial" w:cs="Arial"/>
          <w:b w:val="0"/>
          <w:bCs w:val="0"/>
          <w:color w:val="000000"/>
          <w:sz w:val="20"/>
          <w:szCs w:val="20"/>
        </w:rPr>
        <w:t>1.3.4. MSME- Innovative (Incubation, IPR, Design and Digital MSME)</w:t>
      </w:r>
      <w:r w:rsidRPr="001B278D">
        <w:rPr>
          <w:rFonts w:ascii="Arial" w:hAnsi="Arial" w:cs="Arial"/>
          <w:b w:val="0"/>
          <w:bCs w:val="0"/>
          <w:color w:val="000000"/>
          <w:sz w:val="20"/>
          <w:szCs w:val="20"/>
        </w:rPr>
        <w:br/>
        <w:t>(A component of MSME Champions scheme)</w:t>
      </w:r>
    </w:p>
    <w:tbl>
      <w:tblPr>
        <w:tblW w:w="5000"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690"/>
        <w:gridCol w:w="7320"/>
      </w:tblGrid>
      <w:tr w:rsidR="00A818B8" w:rsidRPr="001B278D" w14:paraId="4F19F1A6"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4795BBA5"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Related Scheme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564C7B10"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MSME- Innovative (Incubation, IPR, Design and Digital MSME)</w:t>
            </w:r>
          </w:p>
        </w:tc>
      </w:tr>
      <w:tr w:rsidR="00A818B8" w:rsidRPr="001B278D" w14:paraId="2FB2E4F9"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3158492B"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Objective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22FBC4A0"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 xml:space="preserve">MSME Innovative is a new concept for MSMEs with a combination of innovation in incubation, design intervention and by protecting IPR in a single </w:t>
            </w:r>
            <w:r w:rsidRPr="001B278D">
              <w:rPr>
                <w:rFonts w:ascii="Arial" w:hAnsi="Arial" w:cs="Arial"/>
                <w:sz w:val="20"/>
                <w:szCs w:val="20"/>
              </w:rPr>
              <w:lastRenderedPageBreak/>
              <w:t>mode approach to create awareness amongst MSMEs about India’s innovation and motivate them to become MSME Champions. This will act as a hub for innovation activities facilitating and guiding development of ideas into viable business proposition that can benefit society directly and can be marketed successfully.</w:t>
            </w:r>
          </w:p>
        </w:tc>
      </w:tr>
      <w:tr w:rsidR="00A818B8" w:rsidRPr="001B278D" w14:paraId="43440CE2"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7D06FCCB"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lastRenderedPageBreak/>
              <w:t>Nature of assistance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101CFDDF" w14:textId="77777777" w:rsidR="00A818B8" w:rsidRPr="001B278D" w:rsidRDefault="00A818B8"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Incubation</w:t>
            </w:r>
            <w:r w:rsidRPr="001B278D">
              <w:rPr>
                <w:rFonts w:ascii="Arial" w:hAnsi="Arial" w:cs="Arial"/>
                <w:sz w:val="20"/>
                <w:szCs w:val="20"/>
              </w:rPr>
              <w:br/>
            </w:r>
            <w:r w:rsidRPr="001B278D">
              <w:rPr>
                <w:rFonts w:ascii="Arial" w:hAnsi="Arial" w:cs="Arial"/>
                <w:sz w:val="20"/>
                <w:szCs w:val="20"/>
              </w:rPr>
              <w:br/>
              <w:t>• Financial Assistance to HI for developing and nurturing the ideas- shall be provided up to maximum of Rs. 15 lakh per idea to HI.</w:t>
            </w:r>
            <w:r w:rsidRPr="001B278D">
              <w:rPr>
                <w:rFonts w:ascii="Arial" w:hAnsi="Arial" w:cs="Arial"/>
                <w:sz w:val="20"/>
                <w:szCs w:val="20"/>
              </w:rPr>
              <w:br/>
            </w:r>
            <w:r w:rsidRPr="001B278D">
              <w:rPr>
                <w:rFonts w:ascii="Arial" w:hAnsi="Arial" w:cs="Arial"/>
                <w:sz w:val="20"/>
                <w:szCs w:val="20"/>
              </w:rPr>
              <w:br/>
              <w:t xml:space="preserve">• Financial assistance for Plant and Machinery to HI up to Rs. 1.00 cr. (max) - shall be provided for procurement and installation of relevant plant and machines including hardware and software etc. in BI for R&amp;D activities and common facilities for </w:t>
            </w:r>
            <w:proofErr w:type="spellStart"/>
            <w:r w:rsidRPr="001B278D">
              <w:rPr>
                <w:rFonts w:ascii="Arial" w:hAnsi="Arial" w:cs="Arial"/>
                <w:sz w:val="20"/>
                <w:szCs w:val="20"/>
              </w:rPr>
              <w:t>incubatees</w:t>
            </w:r>
            <w:proofErr w:type="spellEnd"/>
            <w:r w:rsidRPr="001B278D">
              <w:rPr>
                <w:rFonts w:ascii="Arial" w:hAnsi="Arial" w:cs="Arial"/>
                <w:sz w:val="20"/>
                <w:szCs w:val="20"/>
              </w:rPr>
              <w:t xml:space="preserve"> of BI.</w:t>
            </w:r>
            <w:r w:rsidRPr="001B278D">
              <w:rPr>
                <w:rFonts w:ascii="Arial" w:hAnsi="Arial" w:cs="Arial"/>
                <w:sz w:val="20"/>
                <w:szCs w:val="20"/>
              </w:rPr>
              <w:br/>
            </w:r>
            <w:r w:rsidRPr="001B278D">
              <w:rPr>
                <w:rFonts w:ascii="Arial" w:hAnsi="Arial" w:cs="Arial"/>
                <w:sz w:val="20"/>
                <w:szCs w:val="20"/>
              </w:rPr>
              <w:br/>
            </w:r>
            <w:r w:rsidRPr="001B278D">
              <w:rPr>
                <w:rFonts w:ascii="Arial" w:hAnsi="Arial" w:cs="Arial"/>
                <w:b/>
                <w:bCs/>
                <w:sz w:val="20"/>
                <w:szCs w:val="20"/>
                <w:bdr w:val="none" w:sz="0" w:space="0" w:color="auto" w:frame="1"/>
              </w:rPr>
              <w:t>Design</w:t>
            </w:r>
            <w:r w:rsidRPr="001B278D">
              <w:rPr>
                <w:rFonts w:ascii="Arial" w:hAnsi="Arial" w:cs="Arial"/>
                <w:sz w:val="20"/>
                <w:szCs w:val="20"/>
              </w:rPr>
              <w:br/>
            </w:r>
            <w:r w:rsidRPr="001B278D">
              <w:rPr>
                <w:rFonts w:ascii="Arial" w:hAnsi="Arial" w:cs="Arial"/>
                <w:sz w:val="20"/>
                <w:szCs w:val="20"/>
              </w:rPr>
              <w:br/>
              <w:t>• </w:t>
            </w:r>
            <w:r w:rsidRPr="001B278D">
              <w:rPr>
                <w:rFonts w:ascii="Arial" w:hAnsi="Arial" w:cs="Arial"/>
                <w:b/>
                <w:bCs/>
                <w:sz w:val="20"/>
                <w:szCs w:val="20"/>
                <w:bdr w:val="none" w:sz="0" w:space="0" w:color="auto" w:frame="1"/>
              </w:rPr>
              <w:t>Design Project</w:t>
            </w:r>
            <w:r w:rsidRPr="001B278D">
              <w:rPr>
                <w:rFonts w:ascii="Arial" w:hAnsi="Arial" w:cs="Arial"/>
                <w:sz w:val="20"/>
                <w:szCs w:val="20"/>
              </w:rPr>
              <w:t xml:space="preserve">: 75% of the total project cost will be contributed by </w:t>
            </w:r>
            <w:proofErr w:type="spellStart"/>
            <w:r w:rsidRPr="001B278D">
              <w:rPr>
                <w:rFonts w:ascii="Arial" w:hAnsi="Arial" w:cs="Arial"/>
                <w:sz w:val="20"/>
                <w:szCs w:val="20"/>
              </w:rPr>
              <w:t>GoI</w:t>
            </w:r>
            <w:proofErr w:type="spellEnd"/>
            <w:r w:rsidRPr="001B278D">
              <w:rPr>
                <w:rFonts w:ascii="Arial" w:hAnsi="Arial" w:cs="Arial"/>
                <w:sz w:val="20"/>
                <w:szCs w:val="20"/>
              </w:rPr>
              <w:t xml:space="preserve"> up to a maximum of Rs. 40 lakh</w:t>
            </w:r>
            <w:r w:rsidRPr="001B278D">
              <w:rPr>
                <w:rFonts w:ascii="Arial" w:hAnsi="Arial" w:cs="Arial"/>
                <w:sz w:val="20"/>
                <w:szCs w:val="20"/>
              </w:rPr>
              <w:br/>
            </w:r>
            <w:r w:rsidRPr="001B278D">
              <w:rPr>
                <w:rFonts w:ascii="Arial" w:hAnsi="Arial" w:cs="Arial"/>
                <w:sz w:val="20"/>
                <w:szCs w:val="20"/>
              </w:rPr>
              <w:br/>
              <w:t>• </w:t>
            </w:r>
            <w:r w:rsidRPr="001B278D">
              <w:rPr>
                <w:rFonts w:ascii="Arial" w:hAnsi="Arial" w:cs="Arial"/>
                <w:b/>
                <w:bCs/>
                <w:sz w:val="20"/>
                <w:szCs w:val="20"/>
                <w:bdr w:val="none" w:sz="0" w:space="0" w:color="auto" w:frame="1"/>
              </w:rPr>
              <w:t>Student Project</w:t>
            </w:r>
            <w:r w:rsidRPr="001B278D">
              <w:rPr>
                <w:rFonts w:ascii="Arial" w:hAnsi="Arial" w:cs="Arial"/>
                <w:sz w:val="20"/>
                <w:szCs w:val="20"/>
              </w:rPr>
              <w:t xml:space="preserve">: 75% of the total project cost will be contributed by </w:t>
            </w:r>
            <w:proofErr w:type="spellStart"/>
            <w:r w:rsidRPr="001B278D">
              <w:rPr>
                <w:rFonts w:ascii="Arial" w:hAnsi="Arial" w:cs="Arial"/>
                <w:sz w:val="20"/>
                <w:szCs w:val="20"/>
              </w:rPr>
              <w:t>GoI</w:t>
            </w:r>
            <w:proofErr w:type="spellEnd"/>
            <w:r w:rsidRPr="001B278D">
              <w:rPr>
                <w:rFonts w:ascii="Arial" w:hAnsi="Arial" w:cs="Arial"/>
                <w:sz w:val="20"/>
                <w:szCs w:val="20"/>
              </w:rPr>
              <w:t xml:space="preserve"> up to a maximum of Rs. 2.5 lakh</w:t>
            </w:r>
            <w:r w:rsidRPr="001B278D">
              <w:rPr>
                <w:rFonts w:ascii="Arial" w:hAnsi="Arial" w:cs="Arial"/>
                <w:sz w:val="20"/>
                <w:szCs w:val="20"/>
              </w:rPr>
              <w:br/>
            </w:r>
            <w:r w:rsidRPr="001B278D">
              <w:rPr>
                <w:rFonts w:ascii="Arial" w:hAnsi="Arial" w:cs="Arial"/>
                <w:sz w:val="20"/>
                <w:szCs w:val="20"/>
              </w:rPr>
              <w:br/>
            </w:r>
            <w:r w:rsidRPr="001B278D">
              <w:rPr>
                <w:rFonts w:ascii="Arial" w:hAnsi="Arial" w:cs="Arial"/>
                <w:b/>
                <w:bCs/>
                <w:sz w:val="20"/>
                <w:szCs w:val="20"/>
                <w:bdr w:val="none" w:sz="0" w:space="0" w:color="auto" w:frame="1"/>
              </w:rPr>
              <w:t>IPR</w:t>
            </w:r>
            <w:r w:rsidRPr="001B278D">
              <w:rPr>
                <w:rFonts w:ascii="Arial" w:hAnsi="Arial" w:cs="Arial"/>
                <w:sz w:val="20"/>
                <w:szCs w:val="20"/>
              </w:rPr>
              <w:br/>
            </w:r>
            <w:r w:rsidRPr="001B278D">
              <w:rPr>
                <w:rFonts w:ascii="Arial" w:hAnsi="Arial" w:cs="Arial"/>
                <w:sz w:val="20"/>
                <w:szCs w:val="20"/>
              </w:rPr>
              <w:br/>
              <w:t xml:space="preserve">• A Grant of up to Rs. 1 crore would be provided to an IPFC in milestone-based (three or more) </w:t>
            </w:r>
            <w:proofErr w:type="spellStart"/>
            <w:r w:rsidRPr="001B278D">
              <w:rPr>
                <w:rFonts w:ascii="Arial" w:hAnsi="Arial" w:cs="Arial"/>
                <w:sz w:val="20"/>
                <w:szCs w:val="20"/>
              </w:rPr>
              <w:t>installments</w:t>
            </w:r>
            <w:proofErr w:type="spellEnd"/>
            <w:r w:rsidRPr="001B278D">
              <w:rPr>
                <w:rFonts w:ascii="Arial" w:hAnsi="Arial" w:cs="Arial"/>
                <w:sz w:val="20"/>
                <w:szCs w:val="20"/>
              </w:rPr>
              <w:br/>
            </w:r>
            <w:r w:rsidRPr="001B278D">
              <w:rPr>
                <w:rFonts w:ascii="Arial" w:hAnsi="Arial" w:cs="Arial"/>
                <w:sz w:val="20"/>
                <w:szCs w:val="20"/>
              </w:rPr>
              <w:br/>
              <w:t>• </w:t>
            </w:r>
            <w:r w:rsidRPr="001B278D">
              <w:rPr>
                <w:rFonts w:ascii="Arial" w:hAnsi="Arial" w:cs="Arial"/>
                <w:b/>
                <w:bCs/>
                <w:sz w:val="20"/>
                <w:szCs w:val="20"/>
                <w:bdr w:val="none" w:sz="0" w:space="0" w:color="auto" w:frame="1"/>
              </w:rPr>
              <w:t>Reimbursement for registration of Patent, Trademark, Geographical Indications (G.I.), Design</w:t>
            </w:r>
            <w:r w:rsidRPr="001B278D">
              <w:rPr>
                <w:rFonts w:ascii="Arial" w:hAnsi="Arial" w:cs="Arial"/>
                <w:sz w:val="20"/>
                <w:szCs w:val="20"/>
              </w:rPr>
              <w:t>: The maximum financial assistance to the eligible applicants under the IPR component is as follows:</w:t>
            </w:r>
          </w:p>
        </w:tc>
      </w:tr>
      <w:tr w:rsidR="00A818B8" w:rsidRPr="001B278D" w14:paraId="41D897A4"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24AF0EC6" w14:textId="77777777" w:rsidR="00A818B8" w:rsidRPr="001B278D" w:rsidRDefault="00A818B8"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Item</w:t>
            </w:r>
            <w:r w:rsidRPr="001B278D">
              <w:rPr>
                <w:rFonts w:ascii="Arial" w:hAnsi="Arial" w:cs="Arial"/>
                <w:sz w:val="20"/>
                <w:szCs w:val="20"/>
              </w:rPr>
              <w:br/>
            </w:r>
            <w:r w:rsidRPr="001B278D">
              <w:rPr>
                <w:rFonts w:ascii="Arial" w:hAnsi="Arial" w:cs="Arial"/>
                <w:sz w:val="20"/>
                <w:szCs w:val="20"/>
              </w:rPr>
              <w:br/>
            </w:r>
            <w:proofErr w:type="spellStart"/>
            <w:r w:rsidRPr="001B278D">
              <w:rPr>
                <w:rFonts w:ascii="Arial" w:hAnsi="Arial" w:cs="Arial"/>
                <w:sz w:val="20"/>
                <w:szCs w:val="20"/>
              </w:rPr>
              <w:lastRenderedPageBreak/>
              <w:t>i</w:t>
            </w:r>
            <w:proofErr w:type="spellEnd"/>
            <w:r w:rsidRPr="001B278D">
              <w:rPr>
                <w:rFonts w:ascii="Arial" w:hAnsi="Arial" w:cs="Arial"/>
                <w:sz w:val="20"/>
                <w:szCs w:val="20"/>
              </w:rPr>
              <w:t>. Foreign Patent</w:t>
            </w:r>
            <w:r w:rsidRPr="001B278D">
              <w:rPr>
                <w:rFonts w:ascii="Arial" w:hAnsi="Arial" w:cs="Arial"/>
                <w:sz w:val="20"/>
                <w:szCs w:val="20"/>
              </w:rPr>
              <w:br/>
            </w:r>
            <w:r w:rsidRPr="001B278D">
              <w:rPr>
                <w:rFonts w:ascii="Arial" w:hAnsi="Arial" w:cs="Arial"/>
                <w:sz w:val="20"/>
                <w:szCs w:val="20"/>
              </w:rPr>
              <w:br/>
              <w:t>ii. Domestic Patent</w:t>
            </w:r>
            <w:r w:rsidRPr="001B278D">
              <w:rPr>
                <w:rFonts w:ascii="Arial" w:hAnsi="Arial" w:cs="Arial"/>
                <w:sz w:val="20"/>
                <w:szCs w:val="20"/>
              </w:rPr>
              <w:br/>
            </w:r>
            <w:r w:rsidRPr="001B278D">
              <w:rPr>
                <w:rFonts w:ascii="Arial" w:hAnsi="Arial" w:cs="Arial"/>
                <w:sz w:val="20"/>
                <w:szCs w:val="20"/>
              </w:rPr>
              <w:br/>
              <w:t>iii. GI Registration</w:t>
            </w:r>
            <w:r w:rsidRPr="001B278D">
              <w:rPr>
                <w:rFonts w:ascii="Arial" w:hAnsi="Arial" w:cs="Arial"/>
                <w:sz w:val="20"/>
                <w:szCs w:val="20"/>
              </w:rPr>
              <w:br/>
            </w:r>
            <w:r w:rsidRPr="001B278D">
              <w:rPr>
                <w:rFonts w:ascii="Arial" w:hAnsi="Arial" w:cs="Arial"/>
                <w:sz w:val="20"/>
                <w:szCs w:val="20"/>
              </w:rPr>
              <w:br/>
              <w:t>iv. Design Registration</w:t>
            </w:r>
            <w:r w:rsidRPr="001B278D">
              <w:rPr>
                <w:rFonts w:ascii="Arial" w:hAnsi="Arial" w:cs="Arial"/>
                <w:sz w:val="20"/>
                <w:szCs w:val="20"/>
              </w:rPr>
              <w:br/>
            </w:r>
            <w:r w:rsidRPr="001B278D">
              <w:rPr>
                <w:rFonts w:ascii="Arial" w:hAnsi="Arial" w:cs="Arial"/>
                <w:sz w:val="20"/>
                <w:szCs w:val="20"/>
              </w:rPr>
              <w:br/>
              <w:t>v. Trademark</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AD67F25" w14:textId="77777777" w:rsidR="00A818B8" w:rsidRPr="001B278D" w:rsidRDefault="00A818B8"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lastRenderedPageBreak/>
              <w:t>Maximum Financial Assistance</w:t>
            </w:r>
            <w:r w:rsidRPr="001B278D">
              <w:rPr>
                <w:rFonts w:ascii="Arial" w:hAnsi="Arial" w:cs="Arial"/>
                <w:sz w:val="20"/>
                <w:szCs w:val="20"/>
              </w:rPr>
              <w:br/>
            </w:r>
            <w:r w:rsidRPr="001B278D">
              <w:rPr>
                <w:rFonts w:ascii="Arial" w:hAnsi="Arial" w:cs="Arial"/>
                <w:sz w:val="20"/>
                <w:szCs w:val="20"/>
              </w:rPr>
              <w:br/>
            </w:r>
            <w:r w:rsidRPr="001B278D">
              <w:rPr>
                <w:rFonts w:ascii="Arial" w:hAnsi="Arial" w:cs="Arial"/>
                <w:sz w:val="20"/>
                <w:szCs w:val="20"/>
              </w:rPr>
              <w:lastRenderedPageBreak/>
              <w:t>Rs. 5.00 lakh</w:t>
            </w:r>
            <w:r w:rsidRPr="001B278D">
              <w:rPr>
                <w:rFonts w:ascii="Arial" w:hAnsi="Arial" w:cs="Arial"/>
                <w:sz w:val="20"/>
                <w:szCs w:val="20"/>
              </w:rPr>
              <w:br/>
            </w:r>
            <w:r w:rsidRPr="001B278D">
              <w:rPr>
                <w:rFonts w:ascii="Arial" w:hAnsi="Arial" w:cs="Arial"/>
                <w:sz w:val="20"/>
                <w:szCs w:val="20"/>
              </w:rPr>
              <w:br/>
              <w:t>Rs. 1.00 lakh</w:t>
            </w:r>
            <w:r w:rsidRPr="001B278D">
              <w:rPr>
                <w:rFonts w:ascii="Arial" w:hAnsi="Arial" w:cs="Arial"/>
                <w:sz w:val="20"/>
                <w:szCs w:val="20"/>
              </w:rPr>
              <w:br/>
            </w:r>
            <w:r w:rsidRPr="001B278D">
              <w:rPr>
                <w:rFonts w:ascii="Arial" w:hAnsi="Arial" w:cs="Arial"/>
                <w:sz w:val="20"/>
                <w:szCs w:val="20"/>
              </w:rPr>
              <w:br/>
              <w:t>Rs. 2.00 lakh</w:t>
            </w:r>
            <w:r w:rsidRPr="001B278D">
              <w:rPr>
                <w:rFonts w:ascii="Arial" w:hAnsi="Arial" w:cs="Arial"/>
                <w:sz w:val="20"/>
                <w:szCs w:val="20"/>
              </w:rPr>
              <w:br/>
            </w:r>
            <w:r w:rsidRPr="001B278D">
              <w:rPr>
                <w:rFonts w:ascii="Arial" w:hAnsi="Arial" w:cs="Arial"/>
                <w:sz w:val="20"/>
                <w:szCs w:val="20"/>
              </w:rPr>
              <w:br/>
              <w:t>Rs. 0.15 lakh</w:t>
            </w:r>
            <w:r w:rsidRPr="001B278D">
              <w:rPr>
                <w:rFonts w:ascii="Arial" w:hAnsi="Arial" w:cs="Arial"/>
                <w:sz w:val="20"/>
                <w:szCs w:val="20"/>
              </w:rPr>
              <w:br/>
            </w:r>
            <w:r w:rsidRPr="001B278D">
              <w:rPr>
                <w:rFonts w:ascii="Arial" w:hAnsi="Arial" w:cs="Arial"/>
                <w:sz w:val="20"/>
                <w:szCs w:val="20"/>
              </w:rPr>
              <w:br/>
              <w:t>Rs. 0.10 lakh</w:t>
            </w:r>
          </w:p>
        </w:tc>
      </w:tr>
      <w:tr w:rsidR="00A818B8" w:rsidRPr="001B278D" w14:paraId="21545E93"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2D3E4951" w14:textId="77777777" w:rsidR="00A818B8" w:rsidRPr="001B278D" w:rsidRDefault="00A818B8"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lastRenderedPageBreak/>
              <w:t>Eligibility/ Applicability: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498F80FE"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 </w:t>
            </w:r>
            <w:r w:rsidRPr="001B278D">
              <w:rPr>
                <w:rFonts w:ascii="Arial" w:hAnsi="Arial" w:cs="Arial"/>
                <w:b/>
                <w:bCs/>
                <w:sz w:val="20"/>
                <w:szCs w:val="20"/>
                <w:bdr w:val="none" w:sz="0" w:space="0" w:color="auto" w:frame="1"/>
              </w:rPr>
              <w:t>Incubation</w:t>
            </w:r>
            <w:r w:rsidRPr="001B278D">
              <w:rPr>
                <w:rFonts w:ascii="Arial" w:hAnsi="Arial" w:cs="Arial"/>
                <w:sz w:val="20"/>
                <w:szCs w:val="20"/>
              </w:rPr>
              <w:t>: MSMEs, Individuals, Students who want to develop their innovative ideas can apply through registered HIs.</w:t>
            </w:r>
            <w:r w:rsidRPr="001B278D">
              <w:rPr>
                <w:rFonts w:ascii="Arial" w:hAnsi="Arial" w:cs="Arial"/>
                <w:sz w:val="20"/>
                <w:szCs w:val="20"/>
              </w:rPr>
              <w:br/>
            </w:r>
            <w:r w:rsidRPr="001B278D">
              <w:rPr>
                <w:rFonts w:ascii="Arial" w:hAnsi="Arial" w:cs="Arial"/>
                <w:sz w:val="20"/>
                <w:szCs w:val="20"/>
              </w:rPr>
              <w:br/>
              <w:t>• </w:t>
            </w:r>
            <w:r w:rsidRPr="001B278D">
              <w:rPr>
                <w:rFonts w:ascii="Arial" w:hAnsi="Arial" w:cs="Arial"/>
                <w:b/>
                <w:bCs/>
                <w:sz w:val="20"/>
                <w:szCs w:val="20"/>
                <w:bdr w:val="none" w:sz="0" w:space="0" w:color="auto" w:frame="1"/>
              </w:rPr>
              <w:t>Design</w:t>
            </w:r>
            <w:r w:rsidRPr="001B278D">
              <w:rPr>
                <w:rFonts w:ascii="Arial" w:hAnsi="Arial" w:cs="Arial"/>
                <w:sz w:val="20"/>
                <w:szCs w:val="20"/>
              </w:rPr>
              <w:t xml:space="preserve">: The beneficiary unit(s) must typically be a registered micro, small or medium enterprises as per the definition in MSMED Act and should have a valid UAM or </w:t>
            </w:r>
            <w:proofErr w:type="spellStart"/>
            <w:r w:rsidRPr="001B278D">
              <w:rPr>
                <w:rFonts w:ascii="Arial" w:hAnsi="Arial" w:cs="Arial"/>
                <w:sz w:val="20"/>
                <w:szCs w:val="20"/>
              </w:rPr>
              <w:t>Udyam</w:t>
            </w:r>
            <w:proofErr w:type="spellEnd"/>
            <w:r w:rsidRPr="001B278D">
              <w:rPr>
                <w:rFonts w:ascii="Arial" w:hAnsi="Arial" w:cs="Arial"/>
                <w:sz w:val="20"/>
                <w:szCs w:val="20"/>
              </w:rPr>
              <w:t xml:space="preserve"> Registration.</w:t>
            </w:r>
            <w:r w:rsidRPr="001B278D">
              <w:rPr>
                <w:rFonts w:ascii="Arial" w:hAnsi="Arial" w:cs="Arial"/>
                <w:sz w:val="20"/>
                <w:szCs w:val="20"/>
              </w:rPr>
              <w:br/>
            </w:r>
            <w:r w:rsidRPr="001B278D">
              <w:rPr>
                <w:rFonts w:ascii="Arial" w:hAnsi="Arial" w:cs="Arial"/>
                <w:sz w:val="20"/>
                <w:szCs w:val="20"/>
              </w:rPr>
              <w:br/>
              <w:t>• </w:t>
            </w:r>
            <w:r w:rsidRPr="001B278D">
              <w:rPr>
                <w:rFonts w:ascii="Arial" w:hAnsi="Arial" w:cs="Arial"/>
                <w:b/>
                <w:bCs/>
                <w:sz w:val="20"/>
                <w:szCs w:val="20"/>
                <w:bdr w:val="none" w:sz="0" w:space="0" w:color="auto" w:frame="1"/>
              </w:rPr>
              <w:t>IPR</w:t>
            </w:r>
            <w:r w:rsidRPr="001B278D">
              <w:rPr>
                <w:rFonts w:ascii="Arial" w:hAnsi="Arial" w:cs="Arial"/>
                <w:sz w:val="20"/>
                <w:szCs w:val="20"/>
              </w:rPr>
              <w:t>: For Manufacturing MSMEs with UAM/UDYAM Registration.</w:t>
            </w:r>
          </w:p>
        </w:tc>
      </w:tr>
      <w:tr w:rsidR="00A818B8" w:rsidRPr="001B278D" w14:paraId="45B8B6F1"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3CBD0020"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How to apply?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39BA937B"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The eligible applicants may apply at the MIS portal </w:t>
            </w:r>
            <w:hyperlink r:id="rId48" w:history="1">
              <w:r w:rsidRPr="001B278D">
                <w:rPr>
                  <w:rStyle w:val="Hyperlink"/>
                  <w:rFonts w:ascii="Arial" w:hAnsi="Arial" w:cs="Arial"/>
                  <w:color w:val="1253CA"/>
                  <w:sz w:val="20"/>
                  <w:szCs w:val="20"/>
                  <w:u w:val="none"/>
                </w:rPr>
                <w:t>https://innovative.msme.gov.in</w:t>
              </w:r>
            </w:hyperlink>
          </w:p>
        </w:tc>
      </w:tr>
      <w:tr w:rsidR="00A818B8" w:rsidRPr="001B278D" w14:paraId="35DE5D4B"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5A4F0C8C"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Contact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25A13E43" w14:textId="77777777" w:rsidR="00A818B8" w:rsidRPr="001B278D" w:rsidRDefault="00A818B8" w:rsidP="00BD77F5">
            <w:pPr>
              <w:spacing w:line="374" w:lineRule="atLeast"/>
              <w:rPr>
                <w:rFonts w:ascii="Arial" w:hAnsi="Arial" w:cs="Arial"/>
                <w:sz w:val="20"/>
                <w:szCs w:val="20"/>
              </w:rPr>
            </w:pPr>
            <w:r w:rsidRPr="001B278D">
              <w:rPr>
                <w:rFonts w:ascii="Arial" w:hAnsi="Arial" w:cs="Arial"/>
                <w:sz w:val="20"/>
                <w:szCs w:val="20"/>
              </w:rPr>
              <w:t xml:space="preserve">Office of Development Commissioner (MSME), Ministry of MSME, </w:t>
            </w:r>
            <w:proofErr w:type="spellStart"/>
            <w:r w:rsidRPr="001B278D">
              <w:rPr>
                <w:rFonts w:ascii="Arial" w:hAnsi="Arial" w:cs="Arial"/>
                <w:sz w:val="20"/>
                <w:szCs w:val="20"/>
              </w:rPr>
              <w:t>Nirman</w:t>
            </w:r>
            <w:proofErr w:type="spellEnd"/>
            <w:r w:rsidRPr="001B278D">
              <w:rPr>
                <w:rFonts w:ascii="Arial" w:hAnsi="Arial" w:cs="Arial"/>
                <w:sz w:val="20"/>
                <w:szCs w:val="20"/>
              </w:rPr>
              <w:t xml:space="preserve"> </w:t>
            </w:r>
            <w:proofErr w:type="spellStart"/>
            <w:r w:rsidRPr="001B278D">
              <w:rPr>
                <w:rFonts w:ascii="Arial" w:hAnsi="Arial" w:cs="Arial"/>
                <w:sz w:val="20"/>
                <w:szCs w:val="20"/>
              </w:rPr>
              <w:t>Bhawan</w:t>
            </w:r>
            <w:proofErr w:type="spellEnd"/>
            <w:r w:rsidRPr="001B278D">
              <w:rPr>
                <w:rFonts w:ascii="Arial" w:hAnsi="Arial" w:cs="Arial"/>
                <w:sz w:val="20"/>
                <w:szCs w:val="20"/>
              </w:rPr>
              <w:t>, New Delhi.</w:t>
            </w:r>
            <w:r w:rsidRPr="001B278D">
              <w:rPr>
                <w:rFonts w:ascii="Arial" w:hAnsi="Arial" w:cs="Arial"/>
                <w:sz w:val="20"/>
                <w:szCs w:val="20"/>
              </w:rPr>
              <w:br/>
            </w:r>
            <w:hyperlink r:id="rId49" w:history="1">
              <w:r w:rsidRPr="001B278D">
                <w:rPr>
                  <w:rStyle w:val="Hyperlink"/>
                  <w:rFonts w:ascii="Arial" w:hAnsi="Arial" w:cs="Arial"/>
                  <w:color w:val="1253CA"/>
                  <w:sz w:val="20"/>
                  <w:szCs w:val="20"/>
                  <w:u w:val="none"/>
                </w:rPr>
                <w:t>http://www.dcmsme.gov.in</w:t>
              </w:r>
            </w:hyperlink>
          </w:p>
        </w:tc>
      </w:tr>
    </w:tbl>
    <w:p w14:paraId="2EADCEA1" w14:textId="77777777" w:rsidR="00A818B8" w:rsidRPr="001B278D" w:rsidRDefault="00A818B8" w:rsidP="00A818B8">
      <w:pPr>
        <w:pStyle w:val="NormalWeb"/>
        <w:rPr>
          <w:rFonts w:ascii="Arial" w:hAnsi="Arial" w:cs="Arial"/>
          <w:sz w:val="20"/>
          <w:szCs w:val="20"/>
        </w:rPr>
      </w:pPr>
    </w:p>
    <w:p w14:paraId="5CDCBBCC" w14:textId="77777777" w:rsidR="00A818B8" w:rsidRDefault="00A818B8" w:rsidP="00A818B8">
      <w:pPr>
        <w:spacing w:before="240" w:after="0"/>
      </w:pPr>
      <w:r>
        <w:t>More details can be referred to in the below link.</w:t>
      </w:r>
    </w:p>
    <w:p w14:paraId="1B1D5BA0" w14:textId="77777777" w:rsidR="00A818B8" w:rsidRDefault="00A818B8" w:rsidP="00A818B8">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50" w:history="1">
        <w:r w:rsidRPr="009E2415">
          <w:rPr>
            <w:rStyle w:val="Hyperlink"/>
            <w:rFonts w:ascii="Arial" w:hAnsi="Arial" w:cs="Arial"/>
            <w:bCs/>
            <w:sz w:val="20"/>
            <w:szCs w:val="20"/>
          </w:rPr>
          <w:t>https://msme.gov.in/technology-upgradation-and-quality-certification</w:t>
        </w:r>
      </w:hyperlink>
    </w:p>
    <w:p w14:paraId="5050CCC9" w14:textId="77777777" w:rsidR="00A818B8" w:rsidRDefault="00A818B8" w:rsidP="00A818B8">
      <w:pPr>
        <w:pStyle w:val="NormalWeb"/>
        <w:rPr>
          <w:rFonts w:ascii="Arial" w:hAnsi="Arial" w:cs="Arial"/>
          <w:bCs/>
          <w:color w:val="000000"/>
          <w:sz w:val="20"/>
          <w:szCs w:val="20"/>
        </w:rPr>
      </w:pPr>
    </w:p>
    <w:p w14:paraId="46CD15AF" w14:textId="77777777" w:rsidR="00A818B8" w:rsidRPr="001B278D" w:rsidRDefault="00A818B8" w:rsidP="00A818B8">
      <w:pPr>
        <w:pStyle w:val="NormalWeb"/>
        <w:rPr>
          <w:rFonts w:ascii="Arial" w:hAnsi="Arial" w:cs="Arial"/>
          <w:sz w:val="20"/>
          <w:szCs w:val="20"/>
        </w:rPr>
      </w:pPr>
    </w:p>
    <w:p w14:paraId="7FC63E48" w14:textId="77777777" w:rsidR="00511F0D" w:rsidRPr="009F65FC" w:rsidRDefault="00511F0D" w:rsidP="00511F0D">
      <w:pPr>
        <w:rPr>
          <w:b/>
          <w:bCs/>
          <w:lang w:val="en-US"/>
        </w:rPr>
      </w:pPr>
    </w:p>
    <w:sectPr w:rsidR="00511F0D" w:rsidRPr="009F65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70A05"/>
    <w:multiLevelType w:val="multilevel"/>
    <w:tmpl w:val="05A633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31768F0"/>
    <w:multiLevelType w:val="multilevel"/>
    <w:tmpl w:val="2EF4CD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537E6017"/>
    <w:multiLevelType w:val="multilevel"/>
    <w:tmpl w:val="2F7CF5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5CCE2717"/>
    <w:multiLevelType w:val="hybridMultilevel"/>
    <w:tmpl w:val="AE26779A"/>
    <w:lvl w:ilvl="0" w:tplc="9FA029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01"/>
    <w:rsid w:val="001173E0"/>
    <w:rsid w:val="001C3B05"/>
    <w:rsid w:val="00430B8C"/>
    <w:rsid w:val="004B4C86"/>
    <w:rsid w:val="00511F0D"/>
    <w:rsid w:val="00554601"/>
    <w:rsid w:val="00591611"/>
    <w:rsid w:val="00A818B8"/>
    <w:rsid w:val="00C80CC7"/>
    <w:rsid w:val="00CA0BE2"/>
    <w:rsid w:val="00D8008D"/>
    <w:rsid w:val="00DE7E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253C"/>
  <w15:chartTrackingRefBased/>
  <w15:docId w15:val="{16AEABC6-D3D8-4ECE-A141-563214F1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818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2">
    <w:name w:val="heading 2"/>
    <w:basedOn w:val="Normal"/>
    <w:link w:val="Heading2Char"/>
    <w:uiPriority w:val="9"/>
    <w:qFormat/>
    <w:rsid w:val="00A818B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08D"/>
    <w:pPr>
      <w:ind w:left="720"/>
      <w:contextualSpacing/>
    </w:pPr>
  </w:style>
  <w:style w:type="paragraph" w:styleId="NormalWeb">
    <w:name w:val="Normal (Web)"/>
    <w:basedOn w:val="Normal"/>
    <w:uiPriority w:val="99"/>
    <w:unhideWhenUsed/>
    <w:rsid w:val="001173E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ead">
    <w:name w:val="head"/>
    <w:basedOn w:val="Normal"/>
    <w:rsid w:val="001173E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1173E0"/>
    <w:rPr>
      <w:color w:val="0000FF"/>
      <w:u w:val="single"/>
    </w:rPr>
  </w:style>
  <w:style w:type="character" w:styleId="Strong">
    <w:name w:val="Strong"/>
    <w:basedOn w:val="DefaultParagraphFont"/>
    <w:uiPriority w:val="22"/>
    <w:qFormat/>
    <w:rsid w:val="001173E0"/>
    <w:rPr>
      <w:b/>
      <w:bCs/>
    </w:rPr>
  </w:style>
  <w:style w:type="character" w:customStyle="1" w:styleId="head1">
    <w:name w:val="head1"/>
    <w:basedOn w:val="DefaultParagraphFont"/>
    <w:rsid w:val="001173E0"/>
  </w:style>
  <w:style w:type="character" w:customStyle="1" w:styleId="Heading1Char">
    <w:name w:val="Heading 1 Char"/>
    <w:basedOn w:val="DefaultParagraphFont"/>
    <w:link w:val="Heading1"/>
    <w:uiPriority w:val="9"/>
    <w:rsid w:val="00A818B8"/>
    <w:rPr>
      <w:rFonts w:ascii="Times New Roman" w:eastAsia="Times New Roman" w:hAnsi="Times New Roman" w:cs="Times New Roman"/>
      <w:b/>
      <w:bCs/>
      <w:kern w:val="36"/>
      <w:sz w:val="48"/>
      <w:szCs w:val="48"/>
      <w:lang w:eastAsia="en-IN"/>
      <w14:ligatures w14:val="none"/>
    </w:rPr>
  </w:style>
  <w:style w:type="character" w:customStyle="1" w:styleId="Heading2Char">
    <w:name w:val="Heading 2 Char"/>
    <w:basedOn w:val="DefaultParagraphFont"/>
    <w:link w:val="Heading2"/>
    <w:uiPriority w:val="9"/>
    <w:rsid w:val="00A818B8"/>
    <w:rPr>
      <w:rFonts w:ascii="Times New Roman" w:eastAsia="Times New Roman" w:hAnsi="Times New Roman" w:cs="Times New Roman"/>
      <w:b/>
      <w:bCs/>
      <w:kern w:val="0"/>
      <w:sz w:val="36"/>
      <w:szCs w:val="36"/>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37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bi.org.in/Scripts/NotificationUser.aspx?Id=12487&amp;Mode=0" TargetMode="External"/><Relationship Id="rId18" Type="http://schemas.openxmlformats.org/officeDocument/2006/relationships/hyperlink" Target="https://rbi.org.in/scripts/NotificationUser.aspx?Id=8603&amp;Mode=0" TargetMode="External"/><Relationship Id="rId26" Type="http://schemas.openxmlformats.org/officeDocument/2006/relationships/hyperlink" Target="https://rbi.org.in/Scripts/NotificationUser.aspx?Id=12499&amp;Mode=0" TargetMode="External"/><Relationship Id="rId39" Type="http://schemas.openxmlformats.org/officeDocument/2006/relationships/hyperlink" Target="https://www.cgtmse.in/Default/ViewFile/?id=1680774247788_Circular%20No.%20220_Increase%20in%20ceiling%20of%20Coverage_REV.pdf&amp;path=Circular" TargetMode="External"/><Relationship Id="rId21" Type="http://schemas.openxmlformats.org/officeDocument/2006/relationships/hyperlink" Target="https://www.rbi.org.in/Scripts/BS_ViewMasCirculardetails.aspx?id=12360" TargetMode="External"/><Relationship Id="rId34" Type="http://schemas.openxmlformats.org/officeDocument/2006/relationships/hyperlink" Target="https://www.rbi.org.in/Scripts/NotificationUser.aspx?Id=11580&amp;Mode=0" TargetMode="External"/><Relationship Id="rId42" Type="http://schemas.openxmlformats.org/officeDocument/2006/relationships/hyperlink" Target="https://zed.msme.gov.in/" TargetMode="External"/><Relationship Id="rId47" Type="http://schemas.openxmlformats.org/officeDocument/2006/relationships/hyperlink" Target="http://www.dcmsme.gov.in/schemes/leanmanfucturing10.pdf" TargetMode="External"/><Relationship Id="rId50" Type="http://schemas.openxmlformats.org/officeDocument/2006/relationships/hyperlink" Target="https://msme.gov.in/technology-upgradation-and-quality-certification" TargetMode="External"/><Relationship Id="rId7" Type="http://schemas.openxmlformats.org/officeDocument/2006/relationships/hyperlink" Target="https://rbi.org.in/Scripts/NotificationUser.aspx?Id=12471&amp;Mode=0" TargetMode="External"/><Relationship Id="rId2" Type="http://schemas.openxmlformats.org/officeDocument/2006/relationships/styles" Target="styles.xml"/><Relationship Id="rId16" Type="http://schemas.openxmlformats.org/officeDocument/2006/relationships/hyperlink" Target="https://www.rbi.org.in/scripts/NotificationUser.aspx?Id=4970&amp;Mode=0" TargetMode="External"/><Relationship Id="rId29" Type="http://schemas.openxmlformats.org/officeDocument/2006/relationships/hyperlink" Target="https://rbidocs.rbi.org.in/rdocs/content/pdfs/IndianGazzate20032023.pdf" TargetMode="External"/><Relationship Id="rId11" Type="http://schemas.openxmlformats.org/officeDocument/2006/relationships/hyperlink" Target="https://rbi.org.in/Scripts/NotificationUser.aspx?Id=12472&amp;Mode=0" TargetMode="External"/><Relationship Id="rId24" Type="http://schemas.openxmlformats.org/officeDocument/2006/relationships/hyperlink" Target="https://www.rbi.org.in/Scripts/BS_ViewMasCirculardetails.aspx?id=12283" TargetMode="External"/><Relationship Id="rId32" Type="http://schemas.openxmlformats.org/officeDocument/2006/relationships/hyperlink" Target="https://www.rbi.org.in/Scripts/BS_PressReleaseDisplay.aspx?prid=55179" TargetMode="External"/><Relationship Id="rId37" Type="http://schemas.openxmlformats.org/officeDocument/2006/relationships/hyperlink" Target="https://rbi.org.in/Scripts/NotificationUser.aspx?Id=12513&amp;Mode=0" TargetMode="External"/><Relationship Id="rId40" Type="http://schemas.openxmlformats.org/officeDocument/2006/relationships/hyperlink" Target="https://www.cgtmse.in/Default/ViewFile/?id=1693235486130_Circular%20no.%20229%20-%20UAM%20Mandatory.pdf&amp;path=Circular" TargetMode="External"/><Relationship Id="rId45" Type="http://schemas.openxmlformats.org/officeDocument/2006/relationships/hyperlink" Target="https://zed.msme.gov.in/uploads/Guideline_Book.pdf" TargetMode="External"/><Relationship Id="rId5" Type="http://schemas.openxmlformats.org/officeDocument/2006/relationships/hyperlink" Target="https://www.rbi.org.in/Scripts/BS_ViewMasCirculardetails.aspx?id=12276" TargetMode="External"/><Relationship Id="rId15" Type="http://schemas.openxmlformats.org/officeDocument/2006/relationships/hyperlink" Target="https://rbi.org.in/Scripts/BS_ViewMasCirculardetails.aspx?id=12283" TargetMode="External"/><Relationship Id="rId23" Type="http://schemas.openxmlformats.org/officeDocument/2006/relationships/hyperlink" Target="https://rbi.org.in/Scripts/NotificationUser.aspx?Id=12493&amp;Mode=0" TargetMode="External"/><Relationship Id="rId28" Type="http://schemas.openxmlformats.org/officeDocument/2006/relationships/hyperlink" Target="https://rbi.org.in/Scripts/NotificationUser.aspx?Id=11951&amp;Mode=0" TargetMode="External"/><Relationship Id="rId36" Type="http://schemas.openxmlformats.org/officeDocument/2006/relationships/hyperlink" Target="https://rbi.org.in/Scripts/NotificationUser.aspx?Id=12513&amp;Mode=0" TargetMode="External"/><Relationship Id="rId49" Type="http://schemas.openxmlformats.org/officeDocument/2006/relationships/hyperlink" Target="http://www.dcmsme.gov.in/" TargetMode="External"/><Relationship Id="rId10" Type="http://schemas.openxmlformats.org/officeDocument/2006/relationships/hyperlink" Target="https://rbi.org.in/Scripts/NotificationUser.aspx?Id=12472&amp;Mode=0" TargetMode="External"/><Relationship Id="rId19" Type="http://schemas.openxmlformats.org/officeDocument/2006/relationships/hyperlink" Target="https://rbi.org.in/Scripts/BS_ViewMasDirections.aspx?id=12300" TargetMode="External"/><Relationship Id="rId31" Type="http://schemas.openxmlformats.org/officeDocument/2006/relationships/hyperlink" Target="https://www.rbi.org.in/Scripts/bs_viewcontent.aspx?Id=3504" TargetMode="External"/><Relationship Id="rId44" Type="http://schemas.openxmlformats.org/officeDocument/2006/relationships/hyperlink" Target="https://zed.msme.gov.in/"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bi.org.in/Scripts/NotificationUser.aspx?Id=12472&amp;Mode=0" TargetMode="External"/><Relationship Id="rId14" Type="http://schemas.openxmlformats.org/officeDocument/2006/relationships/hyperlink" Target="https://www.rbi.org.in/Scripts/NotificationUser.aspx?Id=12416&amp;Mode=0" TargetMode="External"/><Relationship Id="rId22" Type="http://schemas.openxmlformats.org/officeDocument/2006/relationships/hyperlink" Target="https://rbi.org.in/Scripts/NotificationUser.aspx?Id=12493&amp;Mode=0" TargetMode="External"/><Relationship Id="rId27" Type="http://schemas.openxmlformats.org/officeDocument/2006/relationships/hyperlink" Target="https://rbi.org.in/Scripts/NotificationUser.aspx?Id=12499&amp;Mode=0" TargetMode="External"/><Relationship Id="rId30" Type="http://schemas.openxmlformats.org/officeDocument/2006/relationships/hyperlink" Target="https://rbi.org.in/Scripts/NotificationUser.aspx?Id=12500&amp;Mode=0" TargetMode="External"/><Relationship Id="rId35" Type="http://schemas.openxmlformats.org/officeDocument/2006/relationships/hyperlink" Target="https://www.rbi.org.in/Scripts/BS_PressReleaseDisplay.aspx?prid=55815" TargetMode="External"/><Relationship Id="rId43" Type="http://schemas.openxmlformats.org/officeDocument/2006/relationships/hyperlink" Target="https://zed.msme.gov.in/" TargetMode="External"/><Relationship Id="rId48" Type="http://schemas.openxmlformats.org/officeDocument/2006/relationships/hyperlink" Target="https://innovative.msme.gov.in/" TargetMode="External"/><Relationship Id="rId8" Type="http://schemas.openxmlformats.org/officeDocument/2006/relationships/hyperlink" Target="https://www.rbi.org.in/Scripts/BS_ViewMasCirculardetails.aspx?id=12281"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rbi.org.in/Scripts/NotificationUser.aspx?Id=12487&amp;Mode=0" TargetMode="External"/><Relationship Id="rId17" Type="http://schemas.openxmlformats.org/officeDocument/2006/relationships/hyperlink" Target="https://rbi.org.in/Scripts/NotificationUser.aspx?Id=12491&amp;Mode=0" TargetMode="External"/><Relationship Id="rId25" Type="http://schemas.openxmlformats.org/officeDocument/2006/relationships/hyperlink" Target="https://rbi.org.in/Scripts/NotificationUser.aspx?Id=12499&amp;Mode=0" TargetMode="External"/><Relationship Id="rId33" Type="http://schemas.openxmlformats.org/officeDocument/2006/relationships/hyperlink" Target="https://rbi.org.in/Scripts/NotificationUser.aspx?Id=12510&amp;Mode=0" TargetMode="External"/><Relationship Id="rId38" Type="http://schemas.openxmlformats.org/officeDocument/2006/relationships/image" Target="media/image1.png"/><Relationship Id="rId46" Type="http://schemas.openxmlformats.org/officeDocument/2006/relationships/hyperlink" Target="http://www.dcmsme.gov.in/" TargetMode="External"/><Relationship Id="rId20" Type="http://schemas.openxmlformats.org/officeDocument/2006/relationships/hyperlink" Target="https://rbi.org.in/Scripts/NotificationUser.aspx?Id=12492&amp;Mode=0" TargetMode="External"/><Relationship Id="rId41" Type="http://schemas.openxmlformats.org/officeDocument/2006/relationships/hyperlink" Target="https://msme.gov.in/sites/default/files/CreditLinkCapitalSubsidyScheme%282%29%282%29.pdf" TargetMode="External"/><Relationship Id="rId1" Type="http://schemas.openxmlformats.org/officeDocument/2006/relationships/numbering" Target="numbering.xml"/><Relationship Id="rId6" Type="http://schemas.openxmlformats.org/officeDocument/2006/relationships/hyperlink" Target="https://rbi.org.in/Scripts/NotificationUser.aspx?Id=12471&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5173</Words>
  <Characters>29489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Rajdeep Bose</cp:lastModifiedBy>
  <cp:revision>4</cp:revision>
  <dcterms:created xsi:type="dcterms:W3CDTF">2023-09-26T09:44:00Z</dcterms:created>
  <dcterms:modified xsi:type="dcterms:W3CDTF">2023-09-30T10:24:00Z</dcterms:modified>
</cp:coreProperties>
</file>